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30723C">
      <w:pPr>
        <w:jc w:val="center"/>
        <w:rPr>
          <w:b/>
          <w:color w:val="auto"/>
          <w:sz w:val="32"/>
          <w:szCs w:val="32"/>
          <w:highlight w:val="none"/>
        </w:rPr>
      </w:pPr>
    </w:p>
    <w:p w14:paraId="3501715E">
      <w:pPr>
        <w:jc w:val="center"/>
        <w:rPr>
          <w:b/>
          <w:color w:val="auto"/>
          <w:sz w:val="36"/>
          <w:szCs w:val="36"/>
          <w:highlight w:val="none"/>
        </w:rPr>
      </w:pPr>
    </w:p>
    <w:p w14:paraId="1293681A">
      <w:pPr>
        <w:pStyle w:val="14"/>
        <w:spacing w:line="240" w:lineRule="auto"/>
        <w:ind w:firstLine="0"/>
        <w:jc w:val="center"/>
        <w:rPr>
          <w:rFonts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t>如皋市政府采购竞争性磋商文件</w:t>
      </w:r>
    </w:p>
    <w:p w14:paraId="68F0468B">
      <w:pPr>
        <w:pStyle w:val="14"/>
        <w:spacing w:line="240" w:lineRule="auto"/>
        <w:ind w:firstLine="0"/>
        <w:jc w:val="center"/>
        <w:rPr>
          <w:rFonts w:ascii="方正小标宋简体" w:eastAsia="方正小标宋简体"/>
          <w:bCs/>
          <w:color w:val="auto"/>
          <w:sz w:val="44"/>
          <w:szCs w:val="44"/>
          <w:highlight w:val="none"/>
        </w:rPr>
      </w:pPr>
    </w:p>
    <w:p w14:paraId="106FAF16">
      <w:pPr>
        <w:pStyle w:val="14"/>
        <w:spacing w:line="240" w:lineRule="auto"/>
        <w:ind w:firstLine="0"/>
        <w:jc w:val="center"/>
        <w:rPr>
          <w:rFonts w:ascii="方正小标宋简体" w:eastAsia="方正小标宋简体"/>
          <w:bCs/>
          <w:color w:val="auto"/>
          <w:sz w:val="44"/>
          <w:szCs w:val="44"/>
          <w:highlight w:val="none"/>
        </w:rPr>
      </w:pPr>
    </w:p>
    <w:tbl>
      <w:tblPr>
        <w:tblStyle w:val="11"/>
        <w:tblW w:w="0" w:type="auto"/>
        <w:jc w:val="center"/>
        <w:tblLayout w:type="fixed"/>
        <w:tblCellMar>
          <w:top w:w="0" w:type="dxa"/>
          <w:left w:w="108" w:type="dxa"/>
          <w:bottom w:w="0" w:type="dxa"/>
          <w:right w:w="108" w:type="dxa"/>
        </w:tblCellMar>
      </w:tblPr>
      <w:tblGrid>
        <w:gridCol w:w="1735"/>
        <w:gridCol w:w="6214"/>
      </w:tblGrid>
      <w:tr w14:paraId="65324136">
        <w:tblPrEx>
          <w:tblCellMar>
            <w:top w:w="0" w:type="dxa"/>
            <w:left w:w="108" w:type="dxa"/>
            <w:bottom w:w="0" w:type="dxa"/>
            <w:right w:w="108" w:type="dxa"/>
          </w:tblCellMar>
        </w:tblPrEx>
        <w:trPr>
          <w:trHeight w:val="875" w:hRule="atLeast"/>
          <w:jc w:val="center"/>
        </w:trPr>
        <w:tc>
          <w:tcPr>
            <w:tcW w:w="1735" w:type="dxa"/>
            <w:tcBorders>
              <w:top w:val="nil"/>
              <w:left w:val="nil"/>
              <w:bottom w:val="nil"/>
              <w:right w:val="nil"/>
            </w:tcBorders>
            <w:noWrap/>
            <w:vAlign w:val="center"/>
          </w:tcPr>
          <w:p w14:paraId="411F3CF8">
            <w:pPr>
              <w:pStyle w:val="14"/>
              <w:ind w:right="-105" w:firstLine="0"/>
              <w:jc w:val="right"/>
              <w:rPr>
                <w:b/>
                <w:bCs/>
                <w:color w:val="auto"/>
                <w:sz w:val="32"/>
                <w:highlight w:val="none"/>
              </w:rPr>
            </w:pPr>
            <w:r>
              <w:rPr>
                <w:b/>
                <w:bCs/>
                <w:color w:val="auto"/>
                <w:sz w:val="32"/>
                <w:highlight w:val="none"/>
              </w:rPr>
              <w:t>项目名称：</w:t>
            </w:r>
          </w:p>
        </w:tc>
        <w:tc>
          <w:tcPr>
            <w:tcW w:w="6214" w:type="dxa"/>
            <w:tcBorders>
              <w:top w:val="nil"/>
              <w:left w:val="nil"/>
              <w:bottom w:val="nil"/>
              <w:right w:val="nil"/>
            </w:tcBorders>
            <w:noWrap/>
            <w:vAlign w:val="center"/>
          </w:tcPr>
          <w:p w14:paraId="4466AE20">
            <w:pPr>
              <w:pStyle w:val="14"/>
              <w:ind w:firstLine="0"/>
              <w:jc w:val="center"/>
              <w:rPr>
                <w:b/>
                <w:bCs/>
                <w:color w:val="auto"/>
                <w:sz w:val="32"/>
                <w:szCs w:val="32"/>
                <w:highlight w:val="none"/>
              </w:rPr>
            </w:pPr>
            <w:r>
              <w:rPr>
                <w:rFonts w:hint="eastAsia"/>
                <w:b/>
                <w:bCs/>
                <w:color w:val="auto"/>
                <w:sz w:val="32"/>
                <w:szCs w:val="32"/>
                <w:highlight w:val="none"/>
              </w:rPr>
              <w:t>如皋市高新区高层建筑质量安全鉴定和消防安全评估项目</w:t>
            </w:r>
          </w:p>
        </w:tc>
      </w:tr>
      <w:tr w14:paraId="00D59A60">
        <w:tblPrEx>
          <w:tblCellMar>
            <w:top w:w="0" w:type="dxa"/>
            <w:left w:w="108" w:type="dxa"/>
            <w:bottom w:w="0" w:type="dxa"/>
            <w:right w:w="108" w:type="dxa"/>
          </w:tblCellMar>
        </w:tblPrEx>
        <w:trPr>
          <w:trHeight w:val="895" w:hRule="atLeast"/>
          <w:jc w:val="center"/>
        </w:trPr>
        <w:tc>
          <w:tcPr>
            <w:tcW w:w="1735" w:type="dxa"/>
            <w:tcBorders>
              <w:top w:val="nil"/>
              <w:left w:val="nil"/>
              <w:bottom w:val="nil"/>
              <w:right w:val="nil"/>
            </w:tcBorders>
            <w:noWrap/>
            <w:vAlign w:val="center"/>
          </w:tcPr>
          <w:p w14:paraId="6610E69D">
            <w:pPr>
              <w:pStyle w:val="14"/>
              <w:ind w:right="-105" w:firstLine="0"/>
              <w:jc w:val="center"/>
              <w:rPr>
                <w:b/>
                <w:bCs/>
                <w:color w:val="auto"/>
                <w:sz w:val="32"/>
                <w:highlight w:val="none"/>
              </w:rPr>
            </w:pPr>
            <w:r>
              <w:rPr>
                <w:rFonts w:hint="eastAsia"/>
                <w:b/>
                <w:bCs/>
                <w:color w:val="auto"/>
                <w:sz w:val="32"/>
                <w:highlight w:val="none"/>
              </w:rPr>
              <w:t>计划编号：</w:t>
            </w:r>
          </w:p>
        </w:tc>
        <w:tc>
          <w:tcPr>
            <w:tcW w:w="6214" w:type="dxa"/>
            <w:tcBorders>
              <w:top w:val="nil"/>
              <w:left w:val="nil"/>
              <w:bottom w:val="nil"/>
              <w:right w:val="nil"/>
            </w:tcBorders>
            <w:noWrap/>
            <w:vAlign w:val="center"/>
          </w:tcPr>
          <w:p w14:paraId="57B4DABB">
            <w:pPr>
              <w:pStyle w:val="14"/>
              <w:ind w:firstLine="0"/>
              <w:jc w:val="center"/>
              <w:rPr>
                <w:rFonts w:hint="eastAsia" w:eastAsia="宋体"/>
                <w:b/>
                <w:bCs/>
                <w:color w:val="auto"/>
                <w:sz w:val="32"/>
                <w:szCs w:val="32"/>
                <w:highlight w:val="none"/>
                <w:lang w:eastAsia="zh-CN"/>
              </w:rPr>
            </w:pPr>
            <w:r>
              <w:rPr>
                <w:rFonts w:hint="eastAsia"/>
                <w:b/>
                <w:bCs/>
                <w:color w:val="auto"/>
                <w:sz w:val="32"/>
                <w:highlight w:val="none"/>
              </w:rPr>
              <w:t>JSZC-320682-RGCJ-C2025</w:t>
            </w:r>
            <w:r>
              <w:rPr>
                <w:rFonts w:hint="eastAsia"/>
                <w:b/>
                <w:bCs/>
                <w:color w:val="auto"/>
                <w:sz w:val="32"/>
                <w:highlight w:val="none"/>
                <w:lang w:eastAsia="zh-CN"/>
              </w:rPr>
              <w:t>-0026</w:t>
            </w:r>
          </w:p>
        </w:tc>
      </w:tr>
    </w:tbl>
    <w:p w14:paraId="3113BF76">
      <w:pPr>
        <w:pStyle w:val="14"/>
        <w:spacing w:line="240" w:lineRule="auto"/>
        <w:ind w:firstLine="0"/>
        <w:jc w:val="center"/>
        <w:rPr>
          <w:b/>
          <w:bCs/>
          <w:color w:val="auto"/>
          <w:sz w:val="32"/>
          <w:highlight w:val="none"/>
        </w:rPr>
      </w:pPr>
    </w:p>
    <w:p w14:paraId="7E08B9CD">
      <w:pPr>
        <w:pStyle w:val="14"/>
        <w:spacing w:line="240" w:lineRule="auto"/>
        <w:ind w:firstLine="0"/>
        <w:jc w:val="center"/>
        <w:rPr>
          <w:b/>
          <w:bCs/>
          <w:color w:val="auto"/>
          <w:sz w:val="32"/>
          <w:highlight w:val="none"/>
        </w:rPr>
      </w:pPr>
    </w:p>
    <w:p w14:paraId="18F48169">
      <w:pPr>
        <w:pStyle w:val="14"/>
        <w:spacing w:line="240" w:lineRule="auto"/>
        <w:ind w:firstLine="0"/>
        <w:jc w:val="center"/>
        <w:rPr>
          <w:b/>
          <w:bCs/>
          <w:color w:val="auto"/>
          <w:sz w:val="32"/>
          <w:highlight w:val="none"/>
        </w:rPr>
      </w:pPr>
    </w:p>
    <w:p w14:paraId="4B372941">
      <w:pPr>
        <w:pStyle w:val="14"/>
        <w:spacing w:line="240" w:lineRule="auto"/>
        <w:ind w:firstLine="0"/>
        <w:jc w:val="center"/>
        <w:rPr>
          <w:b/>
          <w:bCs/>
          <w:color w:val="auto"/>
          <w:sz w:val="32"/>
          <w:highlight w:val="none"/>
        </w:rPr>
      </w:pPr>
    </w:p>
    <w:p w14:paraId="11848502">
      <w:pPr>
        <w:pStyle w:val="14"/>
        <w:spacing w:line="240" w:lineRule="auto"/>
        <w:ind w:firstLine="0"/>
        <w:jc w:val="center"/>
        <w:rPr>
          <w:b/>
          <w:bCs/>
          <w:color w:val="auto"/>
          <w:sz w:val="32"/>
          <w:highlight w:val="none"/>
        </w:rPr>
      </w:pPr>
    </w:p>
    <w:p w14:paraId="70803A9E">
      <w:pPr>
        <w:pStyle w:val="14"/>
        <w:spacing w:line="240" w:lineRule="auto"/>
        <w:ind w:firstLine="0"/>
        <w:jc w:val="center"/>
        <w:rPr>
          <w:b/>
          <w:bCs/>
          <w:color w:val="auto"/>
          <w:sz w:val="32"/>
          <w:highlight w:val="none"/>
        </w:rPr>
      </w:pPr>
    </w:p>
    <w:p w14:paraId="06556214">
      <w:pPr>
        <w:pStyle w:val="14"/>
        <w:spacing w:line="240" w:lineRule="auto"/>
        <w:ind w:firstLine="0"/>
        <w:jc w:val="center"/>
        <w:rPr>
          <w:b/>
          <w:bCs/>
          <w:color w:val="auto"/>
          <w:sz w:val="32"/>
          <w:highlight w:val="none"/>
        </w:rPr>
      </w:pPr>
    </w:p>
    <w:p w14:paraId="1C013E01">
      <w:pPr>
        <w:pStyle w:val="14"/>
        <w:spacing w:line="240" w:lineRule="auto"/>
        <w:ind w:firstLine="0"/>
        <w:jc w:val="center"/>
        <w:rPr>
          <w:b/>
          <w:bCs/>
          <w:color w:val="auto"/>
          <w:sz w:val="32"/>
          <w:highlight w:val="none"/>
        </w:rPr>
      </w:pPr>
    </w:p>
    <w:p w14:paraId="3FC754D6">
      <w:pPr>
        <w:pStyle w:val="14"/>
        <w:spacing w:line="240" w:lineRule="auto"/>
        <w:ind w:firstLine="0"/>
        <w:jc w:val="center"/>
        <w:rPr>
          <w:b/>
          <w:bCs/>
          <w:color w:val="auto"/>
          <w:sz w:val="32"/>
          <w:highlight w:val="none"/>
        </w:rPr>
      </w:pPr>
      <w:r>
        <w:rPr>
          <w:rFonts w:hint="eastAsia"/>
          <w:b/>
          <w:bCs/>
          <w:color w:val="auto"/>
          <w:sz w:val="32"/>
          <w:highlight w:val="none"/>
        </w:rPr>
        <w:t>采购人名称：江苏省如皋高新技术产业开发区管理委员会</w:t>
      </w:r>
    </w:p>
    <w:p w14:paraId="04298209">
      <w:pPr>
        <w:pStyle w:val="14"/>
        <w:spacing w:line="240" w:lineRule="auto"/>
        <w:ind w:firstLine="0"/>
        <w:jc w:val="center"/>
        <w:rPr>
          <w:b/>
          <w:bCs/>
          <w:color w:val="auto"/>
          <w:sz w:val="32"/>
          <w:highlight w:val="none"/>
        </w:rPr>
      </w:pPr>
      <w:r>
        <w:rPr>
          <w:rFonts w:hint="eastAsia"/>
          <w:b/>
          <w:bCs/>
          <w:color w:val="auto"/>
          <w:sz w:val="32"/>
          <w:highlight w:val="none"/>
        </w:rPr>
        <w:t>采购代理机构名称：如皋市城建工程项目管理有限公司</w:t>
      </w:r>
    </w:p>
    <w:p w14:paraId="52DF09E3">
      <w:pPr>
        <w:pStyle w:val="14"/>
        <w:spacing w:line="240" w:lineRule="auto"/>
        <w:ind w:firstLine="0"/>
        <w:jc w:val="center"/>
        <w:rPr>
          <w:b/>
          <w:bCs/>
          <w:color w:val="auto"/>
          <w:sz w:val="32"/>
          <w:highlight w:val="none"/>
        </w:rPr>
      </w:pPr>
      <w:r>
        <w:rPr>
          <w:rFonts w:hint="eastAsia"/>
          <w:b/>
          <w:bCs/>
          <w:color w:val="auto"/>
          <w:sz w:val="32"/>
          <w:highlight w:val="none"/>
        </w:rPr>
        <w:t>2025年11月</w:t>
      </w:r>
    </w:p>
    <w:p w14:paraId="22131ACE">
      <w:pPr>
        <w:pStyle w:val="14"/>
        <w:spacing w:line="240" w:lineRule="auto"/>
        <w:ind w:firstLine="0"/>
        <w:jc w:val="center"/>
        <w:rPr>
          <w:rFonts w:ascii="方正小标宋简体" w:eastAsia="方正小标宋简体"/>
          <w:bCs/>
          <w:color w:val="auto"/>
          <w:sz w:val="32"/>
          <w:szCs w:val="32"/>
          <w:highlight w:val="none"/>
        </w:rPr>
      </w:pPr>
      <w:r>
        <w:rPr>
          <w:b/>
          <w:bCs/>
          <w:color w:val="auto"/>
          <w:sz w:val="32"/>
          <w:highlight w:val="none"/>
        </w:rPr>
        <w:br w:type="page" w:clear="all"/>
      </w:r>
      <w:r>
        <w:rPr>
          <w:rFonts w:hint="eastAsia" w:ascii="方正小标宋简体" w:eastAsia="方正小标宋简体"/>
          <w:bCs/>
          <w:color w:val="auto"/>
          <w:sz w:val="32"/>
          <w:szCs w:val="32"/>
          <w:highlight w:val="none"/>
        </w:rPr>
        <w:t>第1章 竞争性磋商公告</w:t>
      </w:r>
    </w:p>
    <w:p w14:paraId="3D617690">
      <w:pPr>
        <w:pStyle w:val="15"/>
        <w:spacing w:after="0" w:line="500" w:lineRule="exact"/>
        <w:ind w:firstLine="560"/>
        <w:rPr>
          <w:rFonts w:ascii="黑体" w:hAnsi="黑体" w:eastAsia="黑体"/>
          <w:color w:val="auto"/>
          <w:sz w:val="28"/>
          <w:szCs w:val="28"/>
          <w:highlight w:val="none"/>
        </w:rPr>
      </w:pPr>
      <w:bookmarkStart w:id="0" w:name="_Toc35393629"/>
      <w:bookmarkStart w:id="1" w:name="_Toc35393798"/>
      <w:bookmarkStart w:id="2" w:name="_Toc28359012"/>
      <w:bookmarkStart w:id="3" w:name="_Toc28359089"/>
      <w:bookmarkStart w:id="4" w:name="OLE_LINK2"/>
      <w:r>
        <w:rPr>
          <w:rFonts w:hint="eastAsia" w:ascii="黑体" w:hAnsi="黑体" w:eastAsia="黑体"/>
          <w:color w:val="auto"/>
          <w:sz w:val="28"/>
          <w:szCs w:val="28"/>
          <w:highlight w:val="none"/>
        </w:rPr>
        <w:t>一、项目基本情况</w:t>
      </w:r>
      <w:bookmarkEnd w:id="0"/>
      <w:bookmarkEnd w:id="1"/>
      <w:bookmarkEnd w:id="2"/>
      <w:bookmarkEnd w:id="3"/>
    </w:p>
    <w:p w14:paraId="1632FA4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1.项目名称：如皋市高新区高层建筑质量安全鉴定和消防安全评估项目</w:t>
      </w:r>
    </w:p>
    <w:p w14:paraId="2024916B">
      <w:pPr>
        <w:spacing w:line="500" w:lineRule="exact"/>
        <w:ind w:firstLine="56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2.项目编号：JSZC-320682-RGCJ-C2025</w:t>
      </w:r>
      <w:r>
        <w:rPr>
          <w:rFonts w:hint="eastAsia" w:ascii="仿宋" w:hAnsi="仿宋" w:eastAsia="仿宋"/>
          <w:color w:val="auto"/>
          <w:sz w:val="28"/>
          <w:szCs w:val="28"/>
          <w:highlight w:val="none"/>
          <w:lang w:eastAsia="zh-CN"/>
        </w:rPr>
        <w:t>-0026</w:t>
      </w:r>
    </w:p>
    <w:p w14:paraId="4CF792B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3.预算金额：人民币182.1万元</w:t>
      </w:r>
    </w:p>
    <w:p w14:paraId="71B9B684">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4.最高限价：人民币182.1万元</w:t>
      </w:r>
    </w:p>
    <w:p w14:paraId="3EC0692D">
      <w:pPr>
        <w:spacing w:line="500" w:lineRule="exact"/>
        <w:ind w:firstLine="560"/>
        <w:rPr>
          <w:rFonts w:ascii="仿宋" w:hAnsi="仿宋" w:eastAsia="仿宋"/>
          <w:color w:val="auto"/>
          <w:sz w:val="28"/>
          <w:szCs w:val="28"/>
          <w:highlight w:val="none"/>
          <w:u w:val="single"/>
        </w:rPr>
      </w:pPr>
      <w:r>
        <w:rPr>
          <w:rFonts w:hint="eastAsia" w:ascii="仿宋" w:hAnsi="仿宋" w:eastAsia="仿宋"/>
          <w:color w:val="auto"/>
          <w:sz w:val="28"/>
          <w:szCs w:val="28"/>
          <w:highlight w:val="none"/>
        </w:rPr>
        <w:t>5.采购需求：按南通市高层隐患专班办公室要求,高新区区内高层建筑需完善安全隐</w:t>
      </w:r>
      <w:r>
        <w:rPr>
          <w:rFonts w:hint="eastAsia" w:ascii="仿宋" w:hAnsi="仿宋" w:eastAsia="仿宋"/>
          <w:color w:val="auto"/>
          <w:sz w:val="28"/>
          <w:szCs w:val="28"/>
          <w:highlight w:val="none"/>
          <w:lang w:val="en-US" w:eastAsia="zh-CN"/>
        </w:rPr>
        <w:t>患</w:t>
      </w:r>
      <w:r>
        <w:rPr>
          <w:rFonts w:hint="eastAsia" w:ascii="仿宋" w:hAnsi="仿宋" w:eastAsia="仿宋"/>
          <w:color w:val="auto"/>
          <w:sz w:val="28"/>
          <w:szCs w:val="28"/>
          <w:highlight w:val="none"/>
        </w:rPr>
        <w:t>鉴定及消防评估,建筑质量安全鉴定58.3万平米，消防安全评估123.8万平米。详见第3章。</w:t>
      </w:r>
    </w:p>
    <w:p w14:paraId="13C8A808">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6.合同履行期限：签订合同后45个工作日，具体时间以采购人通知为准。(因采购人现场整改原因导致的工期延误不计算在合同履行的45个工作日内）。</w:t>
      </w:r>
    </w:p>
    <w:p w14:paraId="7DFC1578">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7.本项目是否接受联合体：是</w:t>
      </w:r>
    </w:p>
    <w:p w14:paraId="67741025">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8.本项目是否专门面向中小企业采购：是</w:t>
      </w:r>
    </w:p>
    <w:p w14:paraId="030535C8">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9.项目类型：服务</w:t>
      </w:r>
    </w:p>
    <w:p w14:paraId="4C8996B2">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10.项目所属行业：其</w:t>
      </w:r>
      <w:r>
        <w:rPr>
          <w:rFonts w:ascii="仿宋" w:hAnsi="仿宋" w:eastAsia="仿宋"/>
          <w:color w:val="auto"/>
          <w:sz w:val="28"/>
          <w:szCs w:val="28"/>
          <w:highlight w:val="none"/>
        </w:rPr>
        <w:t>他未列明行业</w:t>
      </w:r>
    </w:p>
    <w:p w14:paraId="364E8DAE">
      <w:pPr>
        <w:pStyle w:val="15"/>
        <w:spacing w:after="0" w:line="500" w:lineRule="exact"/>
        <w:ind w:firstLine="560"/>
        <w:rPr>
          <w:rFonts w:ascii="黑体" w:hAnsi="黑体" w:eastAsia="黑体"/>
          <w:color w:val="auto"/>
          <w:sz w:val="28"/>
          <w:szCs w:val="28"/>
          <w:highlight w:val="none"/>
        </w:rPr>
      </w:pPr>
      <w:bookmarkStart w:id="5" w:name="_Toc28359090"/>
      <w:bookmarkStart w:id="6" w:name="_Toc35393630"/>
      <w:bookmarkStart w:id="7" w:name="_Toc35393799"/>
      <w:bookmarkStart w:id="8" w:name="_Toc28359013"/>
      <w:r>
        <w:rPr>
          <w:rFonts w:hint="eastAsia" w:ascii="黑体" w:hAnsi="黑体" w:eastAsia="黑体"/>
          <w:color w:val="auto"/>
          <w:sz w:val="28"/>
          <w:szCs w:val="28"/>
          <w:highlight w:val="none"/>
        </w:rPr>
        <w:t>二、响应人的资格要求：</w:t>
      </w:r>
      <w:bookmarkEnd w:id="5"/>
      <w:bookmarkEnd w:id="6"/>
      <w:bookmarkEnd w:id="7"/>
      <w:bookmarkEnd w:id="8"/>
    </w:p>
    <w:p w14:paraId="501E2249">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1.《中华人民共和国政府采购法》第二十二条规定的条件：</w:t>
      </w:r>
    </w:p>
    <w:p w14:paraId="30FDA74F">
      <w:pPr>
        <w:pStyle w:val="16"/>
        <w:shd w:val="clear" w:color="auto" w:fill="FFFFFF"/>
        <w:spacing w:before="0" w:beforeAutospacing="0" w:after="0" w:afterAutospacing="0" w:line="500" w:lineRule="exact"/>
        <w:ind w:firstLine="560"/>
        <w:rPr>
          <w:rFonts w:ascii="仿宋" w:hAnsi="仿宋" w:eastAsia="仿宋" w:cs="Times New Roman"/>
          <w:color w:val="auto"/>
          <w:sz w:val="28"/>
          <w:szCs w:val="28"/>
          <w:highlight w:val="none"/>
        </w:rPr>
      </w:pPr>
      <w:bookmarkStart w:id="9" w:name="_Toc28359014"/>
      <w:bookmarkStart w:id="10" w:name="_Toc28359091"/>
      <w:r>
        <w:rPr>
          <w:rFonts w:hint="eastAsia" w:ascii="仿宋" w:hAnsi="仿宋" w:eastAsia="仿宋" w:cs="Times New Roman"/>
          <w:color w:val="auto"/>
          <w:sz w:val="28"/>
          <w:szCs w:val="28"/>
          <w:highlight w:val="none"/>
        </w:rPr>
        <w:t>（1）具有独立承担民事责任的能力;</w:t>
      </w:r>
    </w:p>
    <w:p w14:paraId="6B0FD448">
      <w:pPr>
        <w:pStyle w:val="16"/>
        <w:shd w:val="clear" w:color="auto" w:fill="FFFFFF"/>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（2）具有良好的商业信誉和健全的财务会计制度;</w:t>
      </w:r>
    </w:p>
    <w:p w14:paraId="05A32BD8">
      <w:pPr>
        <w:pStyle w:val="16"/>
        <w:shd w:val="clear" w:color="auto" w:fill="FFFFFF"/>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（3）具有履行合同所必需的设备和专业技术能力;</w:t>
      </w:r>
    </w:p>
    <w:p w14:paraId="02E847CB">
      <w:pPr>
        <w:pStyle w:val="16"/>
        <w:shd w:val="clear" w:color="auto" w:fill="FFFFFF"/>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（4）有依法缴纳税收和社会保障资金的良好记录;</w:t>
      </w:r>
    </w:p>
    <w:p w14:paraId="4352806C">
      <w:pPr>
        <w:pStyle w:val="16"/>
        <w:shd w:val="clear" w:color="auto" w:fill="FFFFFF"/>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（5）参加政府采购活动前三年内，在经营活动中没有重大违法记录;</w:t>
      </w:r>
    </w:p>
    <w:p w14:paraId="588B5EDF">
      <w:pPr>
        <w:pStyle w:val="16"/>
        <w:shd w:val="clear" w:color="auto" w:fill="FFFFFF"/>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（6）法律、行政法规规定的其他条件。</w:t>
      </w:r>
    </w:p>
    <w:p w14:paraId="79595E2E">
      <w:pPr>
        <w:spacing w:line="500" w:lineRule="exact"/>
        <w:ind w:firstLine="560"/>
        <w:rPr>
          <w:rFonts w:ascii="仿宋" w:hAnsi="仿宋" w:eastAsia="仿宋"/>
          <w:color w:val="auto"/>
          <w:sz w:val="28"/>
          <w:szCs w:val="28"/>
          <w:highlight w:val="none"/>
          <w:u w:val="singl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 落实政府采购政策需满足的资格要求：</w:t>
      </w:r>
    </w:p>
    <w:p w14:paraId="5893B4EB">
      <w:pPr>
        <w:pStyle w:val="16"/>
        <w:shd w:val="clear" w:color="auto" w:fill="FFFFFF"/>
        <w:spacing w:before="0" w:beforeAutospacing="0" w:after="0" w:afterAutospacing="0" w:line="500" w:lineRule="exact"/>
        <w:ind w:firstLine="482"/>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w:t>
      </w:r>
      <w:r>
        <w:rPr>
          <w:rFonts w:hint="eastAsia" w:ascii="仿宋" w:hAnsi="仿宋" w:eastAsia="仿宋" w:cs="Times New Roman"/>
          <w:color w:val="auto"/>
          <w:sz w:val="28"/>
          <w:szCs w:val="28"/>
          <w:highlight w:val="none"/>
        </w:rPr>
        <w:t>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color w:val="auto"/>
          <w:sz w:val="28"/>
          <w:szCs w:val="28"/>
          <w:highlight w:val="none"/>
        </w:rPr>
        <w:t>供应商</w:t>
      </w:r>
      <w:r>
        <w:rPr>
          <w:rFonts w:hint="eastAsia" w:ascii="仿宋" w:hAnsi="仿宋" w:eastAsia="仿宋" w:cs="Times New Roman"/>
          <w:color w:val="auto"/>
          <w:sz w:val="28"/>
          <w:szCs w:val="28"/>
          <w:highlight w:val="none"/>
        </w:rPr>
        <w:t>属于</w:t>
      </w:r>
      <w:r>
        <w:rPr>
          <w:rFonts w:ascii="仿宋" w:hAnsi="仿宋" w:eastAsia="仿宋" w:cs="Times New Roman"/>
          <w:color w:val="auto"/>
          <w:sz w:val="28"/>
          <w:szCs w:val="28"/>
          <w:highlight w:val="none"/>
        </w:rPr>
        <w:t>小微企业</w:t>
      </w:r>
      <w:r>
        <w:rPr>
          <w:rFonts w:hint="eastAsia" w:ascii="仿宋" w:hAnsi="仿宋" w:eastAsia="仿宋" w:cs="Times New Roman"/>
          <w:color w:val="auto"/>
          <w:sz w:val="28"/>
          <w:szCs w:val="28"/>
          <w:highlight w:val="none"/>
        </w:rPr>
        <w:t>、</w:t>
      </w:r>
      <w:r>
        <w:rPr>
          <w:rFonts w:ascii="仿宋" w:hAnsi="仿宋" w:eastAsia="仿宋" w:cs="Times New Roman"/>
          <w:color w:val="auto"/>
          <w:sz w:val="28"/>
          <w:szCs w:val="28"/>
          <w:highlight w:val="none"/>
        </w:rPr>
        <w:t>监狱企业</w:t>
      </w:r>
      <w:r>
        <w:rPr>
          <w:rFonts w:hint="eastAsia" w:ascii="仿宋" w:hAnsi="仿宋" w:eastAsia="仿宋" w:cs="Times New Roman"/>
          <w:color w:val="auto"/>
          <w:sz w:val="28"/>
          <w:szCs w:val="28"/>
          <w:highlight w:val="none"/>
        </w:rPr>
        <w:t>或者</w:t>
      </w:r>
      <w:r>
        <w:rPr>
          <w:rFonts w:ascii="仿宋" w:hAnsi="仿宋" w:eastAsia="仿宋" w:cs="Times New Roman"/>
          <w:color w:val="auto"/>
          <w:sz w:val="28"/>
          <w:szCs w:val="28"/>
          <w:highlight w:val="none"/>
        </w:rPr>
        <w:t>残疾人福利性单位的</w:t>
      </w:r>
      <w:r>
        <w:rPr>
          <w:rFonts w:hint="eastAsia" w:ascii="仿宋" w:hAnsi="仿宋" w:eastAsia="仿宋" w:cs="Times New Roman"/>
          <w:color w:val="auto"/>
          <w:sz w:val="28"/>
          <w:szCs w:val="28"/>
          <w:highlight w:val="none"/>
        </w:rPr>
        <w:t>，享受价格扣除优惠。</w:t>
      </w:r>
    </w:p>
    <w:p w14:paraId="156C1831">
      <w:pPr>
        <w:pStyle w:val="16"/>
        <w:shd w:val="clear" w:color="auto" w:fill="FFFFFF"/>
        <w:spacing w:before="0" w:beforeAutospacing="0" w:after="0" w:afterAutospacing="0" w:line="500" w:lineRule="exact"/>
        <w:ind w:firstLine="482"/>
        <w:rPr>
          <w:rFonts w:ascii="仿宋" w:hAnsi="仿宋" w:eastAsia="仿宋"/>
          <w:iCs/>
          <w:color w:val="auto"/>
          <w:sz w:val="28"/>
          <w:szCs w:val="28"/>
          <w:highlight w:val="none"/>
        </w:rPr>
      </w:pPr>
      <w:r>
        <w:rPr>
          <w:rFonts w:hint="eastAsia" w:ascii="仿宋" w:hAnsi="仿宋" w:eastAsia="仿宋" w:cs="Times New Roman"/>
          <w:color w:val="auto"/>
          <w:sz w:val="28"/>
          <w:szCs w:val="28"/>
          <w:highlight w:val="none"/>
        </w:rPr>
        <w:t>（2）</w:t>
      </w:r>
      <w:r>
        <w:rPr>
          <w:rFonts w:hint="eastAsia" w:ascii="仿宋" w:hAnsi="仿宋" w:eastAsia="仿宋"/>
          <w:iCs/>
          <w:color w:val="auto"/>
          <w:sz w:val="28"/>
          <w:szCs w:val="28"/>
          <w:highlight w:val="none"/>
        </w:rPr>
        <w:t>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color w:val="auto"/>
          <w:sz w:val="28"/>
          <w:szCs w:val="28"/>
          <w:highlight w:val="none"/>
        </w:rPr>
        <w:t>。</w:t>
      </w:r>
    </w:p>
    <w:p w14:paraId="3DAB8684">
      <w:pPr>
        <w:pStyle w:val="16"/>
        <w:shd w:val="clear" w:color="auto" w:fill="FFFFFF"/>
        <w:spacing w:before="0" w:beforeAutospacing="0" w:after="0" w:afterAutospacing="0" w:line="500" w:lineRule="exact"/>
        <w:ind w:firstLine="482"/>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（3）</w:t>
      </w:r>
      <w:r>
        <w:rPr>
          <w:rFonts w:hint="eastAsia" w:ascii="仿宋" w:hAnsi="仿宋" w:eastAsia="仿宋" w:cs="Times New Roman"/>
          <w:iCs/>
          <w:color w:val="auto"/>
          <w:sz w:val="28"/>
          <w:szCs w:val="28"/>
          <w:highlight w:val="none"/>
        </w:rPr>
        <w:t>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color w:val="auto"/>
          <w:sz w:val="28"/>
          <w:szCs w:val="28"/>
          <w:highlight w:val="none"/>
        </w:rPr>
        <w:t>,以及全国认证认可信息公共服务平台查询截图</w:t>
      </w:r>
      <w:r>
        <w:rPr>
          <w:rFonts w:hint="eastAsia" w:ascii="仿宋" w:hAnsi="仿宋" w:eastAsia="仿宋" w:cs="Times New Roman"/>
          <w:iCs/>
          <w:color w:val="auto"/>
          <w:sz w:val="28"/>
          <w:szCs w:val="28"/>
          <w:highlight w:val="none"/>
        </w:rPr>
        <w:t>。</w:t>
      </w:r>
    </w:p>
    <w:p w14:paraId="7B6BA969">
      <w:pPr>
        <w:pStyle w:val="16"/>
        <w:shd w:val="clear" w:color="auto" w:fill="FFFFFF"/>
        <w:spacing w:before="0" w:beforeAutospacing="0" w:after="0" w:afterAutospacing="0" w:line="500" w:lineRule="exact"/>
        <w:ind w:firstLine="567"/>
        <w:rPr>
          <w:rFonts w:ascii="仿宋" w:hAnsi="仿宋" w:eastAsia="仿宋"/>
          <w:color w:val="auto"/>
          <w:sz w:val="28"/>
          <w:szCs w:val="28"/>
          <w:highlight w:val="none"/>
          <w:u w:val="single"/>
        </w:rPr>
      </w:pPr>
      <w:r>
        <w:rPr>
          <w:rFonts w:hint="eastAsia" w:ascii="仿宋" w:hAnsi="仿宋" w:eastAsia="仿宋" w:cs="Times New Roman"/>
          <w:color w:val="auto"/>
          <w:sz w:val="28"/>
          <w:szCs w:val="28"/>
          <w:highlight w:val="none"/>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27BA8791">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4. 本项目的特定资格要求：</w:t>
      </w:r>
    </w:p>
    <w:p w14:paraId="7731A429">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（1）响应供应商必须是具备建设行政主管部门颁发的《建设工程质量检测机构资质证书》和省级及以上主管部门颁发的《计量认证证书》。</w:t>
      </w:r>
    </w:p>
    <w:p w14:paraId="4F60A20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（2）响应供应商在社会消防技术服务信息系统备案服务类型为消防安全评估。须提供网站截图并加盖公章。</w:t>
      </w:r>
    </w:p>
    <w:p w14:paraId="2EF0BDD8">
      <w:pPr>
        <w:numPr>
          <w:ilvl w:val="0"/>
          <w:numId w:val="1"/>
        </w:numPr>
        <w:spacing w:line="500" w:lineRule="exact"/>
        <w:ind w:firstLine="560"/>
        <w:rPr>
          <w:rFonts w:ascii="仿宋" w:hAnsi="仿宋" w:eastAsia="仿宋"/>
          <w:iCs/>
          <w:color w:val="auto"/>
          <w:sz w:val="28"/>
          <w:szCs w:val="28"/>
          <w:highlight w:val="none"/>
        </w:rPr>
      </w:pPr>
      <w:r>
        <w:rPr>
          <w:rFonts w:hint="eastAsia" w:ascii="仿宋" w:hAnsi="仿宋" w:eastAsia="仿宋"/>
          <w:color w:val="auto"/>
          <w:sz w:val="28"/>
          <w:szCs w:val="28"/>
          <w:highlight w:val="none"/>
        </w:rPr>
        <w:t>响应供应商拟派项目负责人须具有省级及以上建设行政主管部门或相关机构核发的建设工程质量检测人员岗位合格证，及建筑工程类专业高级工程师技术职称。</w:t>
      </w:r>
    </w:p>
    <w:p w14:paraId="133C8C5B">
      <w:pPr>
        <w:numPr>
          <w:ilvl w:val="0"/>
          <w:numId w:val="1"/>
        </w:numPr>
        <w:spacing w:line="500" w:lineRule="exact"/>
        <w:ind w:firstLine="560"/>
        <w:rPr>
          <w:rFonts w:ascii="仿宋" w:hAnsi="仿宋" w:eastAsia="仿宋"/>
          <w:iCs/>
          <w:color w:val="auto"/>
          <w:sz w:val="28"/>
          <w:szCs w:val="28"/>
          <w:highlight w:val="none"/>
        </w:rPr>
      </w:pPr>
      <w:r>
        <w:rPr>
          <w:rFonts w:hint="eastAsia" w:ascii="仿宋" w:hAnsi="仿宋" w:eastAsia="仿宋"/>
          <w:iCs/>
          <w:color w:val="auto"/>
          <w:sz w:val="28"/>
          <w:szCs w:val="28"/>
          <w:highlight w:val="none"/>
        </w:rPr>
        <w:t>本项目属于专门面向中小企业采购的项目，供应商应当提交《中小企业声明函》，该项目所属行业为其他未列明行业。</w:t>
      </w:r>
    </w:p>
    <w:p w14:paraId="709717BA">
      <w:pPr>
        <w:pStyle w:val="9"/>
        <w:spacing w:line="500" w:lineRule="exact"/>
        <w:ind w:firstLine="562" w:firstLineChars="200"/>
        <w:rPr>
          <w:rFonts w:ascii="仿宋" w:hAnsi="仿宋" w:eastAsia="仿宋"/>
          <w:iCs/>
          <w:color w:val="auto"/>
          <w:sz w:val="28"/>
          <w:szCs w:val="28"/>
          <w:highlight w:val="none"/>
        </w:rPr>
      </w:pPr>
      <w:r>
        <w:rPr>
          <w:rFonts w:hint="eastAsia" w:ascii="仿宋" w:hAnsi="仿宋" w:eastAsia="仿宋"/>
          <w:b/>
          <w:bCs/>
          <w:color w:val="auto"/>
          <w:sz w:val="28"/>
          <w:szCs w:val="28"/>
          <w:highlight w:val="none"/>
        </w:rPr>
        <w:t>注：本项目允许由具有房屋安全鉴定资质的单位、可以在社会消防技术服务信息系统备案的消防安全评估服务单位组成联合体参加投标，但联合体成员数量最多为 2 家，联合体牵头人为具有房屋安全鉴定资质单位的供应商。</w:t>
      </w:r>
    </w:p>
    <w:p w14:paraId="6F801BD3">
      <w:pPr>
        <w:pStyle w:val="16"/>
        <w:shd w:val="clear" w:color="auto" w:fill="FFFFFF"/>
        <w:spacing w:before="0" w:beforeAutospacing="0" w:after="0" w:afterAutospacing="0" w:line="500" w:lineRule="exact"/>
        <w:ind w:firstLine="567"/>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5.响应供应商的法定代表人参加议标活动的，须在响应文件中提供法定代表人身份证明和身份证复印件；委托代理人参加竞争性谈判活动的，还须在响应文件中提供法定代表人的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p>
    <w:p w14:paraId="43BDC5A9">
      <w:pPr>
        <w:spacing w:line="500" w:lineRule="exact"/>
        <w:ind w:firstLine="560"/>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6.未被“信用中国（www.creditchina.gov.cn）”、“中国政府采购网（http://www.ccgp.gov.cn/）”网站列入失信被执行人或重大税收违法案件当事人名单或政府采购严重失信行为记录名单，查询结果以评审过程中现场网络截图为准。</w:t>
      </w:r>
    </w:p>
    <w:bookmarkEnd w:id="9"/>
    <w:bookmarkEnd w:id="10"/>
    <w:p w14:paraId="70CC5E34">
      <w:pPr>
        <w:pStyle w:val="15"/>
        <w:spacing w:after="0" w:line="500" w:lineRule="exact"/>
        <w:ind w:firstLine="560"/>
        <w:rPr>
          <w:rFonts w:ascii="黑体" w:hAnsi="黑体" w:eastAsia="黑体"/>
          <w:color w:val="auto"/>
          <w:sz w:val="28"/>
          <w:szCs w:val="28"/>
          <w:highlight w:val="none"/>
        </w:rPr>
      </w:pPr>
      <w:bookmarkStart w:id="11" w:name="_Toc35393631"/>
      <w:bookmarkStart w:id="12" w:name="_Toc35393800"/>
      <w:bookmarkStart w:id="13" w:name="_Toc28359018"/>
      <w:bookmarkStart w:id="14" w:name="_Toc28359095"/>
      <w:bookmarkStart w:id="15" w:name="_Toc35393805"/>
      <w:bookmarkStart w:id="16" w:name="_Toc35393636"/>
      <w:r>
        <w:rPr>
          <w:rFonts w:hint="eastAsia" w:ascii="黑体" w:hAnsi="黑体" w:eastAsia="黑体"/>
          <w:color w:val="auto"/>
          <w:sz w:val="28"/>
          <w:szCs w:val="28"/>
          <w:highlight w:val="none"/>
        </w:rPr>
        <w:t>三、获取竞争性磋商文件</w:t>
      </w:r>
      <w:bookmarkEnd w:id="11"/>
      <w:bookmarkEnd w:id="12"/>
    </w:p>
    <w:p w14:paraId="57687EF9">
      <w:pPr>
        <w:spacing w:line="500" w:lineRule="exact"/>
        <w:ind w:firstLine="54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1. 时间：本公告发布之日起5个工作日内。</w:t>
      </w:r>
    </w:p>
    <w:p w14:paraId="603B57F0">
      <w:pPr>
        <w:pStyle w:val="15"/>
        <w:spacing w:after="0" w:line="500" w:lineRule="exact"/>
        <w:ind w:firstLine="560"/>
        <w:rPr>
          <w:rFonts w:ascii="仿宋" w:hAnsi="仿宋" w:eastAsia="仿宋" w:cs="宋体"/>
          <w:color w:val="auto"/>
          <w:sz w:val="28"/>
          <w:szCs w:val="28"/>
          <w:highlight w:val="none"/>
        </w:rPr>
      </w:pPr>
      <w:bookmarkStart w:id="17" w:name="_Toc28359092"/>
      <w:bookmarkStart w:id="18" w:name="_Toc35393801"/>
      <w:bookmarkStart w:id="19" w:name="_Toc28359015"/>
      <w:bookmarkStart w:id="20" w:name="_Toc35393632"/>
      <w:r>
        <w:rPr>
          <w:rFonts w:hint="eastAsia" w:ascii="仿宋" w:hAnsi="仿宋" w:eastAsia="仿宋" w:cs="宋体"/>
          <w:color w:val="auto"/>
          <w:sz w:val="28"/>
          <w:szCs w:val="28"/>
          <w:highlight w:val="none"/>
        </w:rPr>
        <w:t>2. 地点：江苏省政府采购网</w:t>
      </w:r>
    </w:p>
    <w:p w14:paraId="0C698C5F">
      <w:pPr>
        <w:pStyle w:val="15"/>
        <w:spacing w:after="0" w:line="50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3. 方式：本项目采用“苏采云”系统网上注册登记方式，具体详见《江苏省政府采购管理交易系统（苏采云）投标人操作手册》。</w:t>
      </w:r>
    </w:p>
    <w:p w14:paraId="3AAB8518">
      <w:pPr>
        <w:pStyle w:val="15"/>
        <w:spacing w:after="0" w:line="500" w:lineRule="exact"/>
        <w:ind w:firstLine="560"/>
        <w:rPr>
          <w:rFonts w:ascii="黑体" w:hAnsi="黑体" w:eastAsia="黑体"/>
          <w:color w:val="auto"/>
          <w:sz w:val="28"/>
          <w:szCs w:val="28"/>
          <w:highlight w:val="none"/>
        </w:rPr>
      </w:pPr>
      <w:r>
        <w:rPr>
          <w:rFonts w:hint="eastAsia" w:ascii="黑体" w:hAnsi="黑体" w:eastAsia="黑体"/>
          <w:color w:val="auto"/>
          <w:sz w:val="28"/>
          <w:szCs w:val="28"/>
          <w:highlight w:val="none"/>
        </w:rPr>
        <w:t>四、</w:t>
      </w:r>
      <w:bookmarkEnd w:id="17"/>
      <w:bookmarkEnd w:id="18"/>
      <w:bookmarkEnd w:id="19"/>
      <w:bookmarkEnd w:id="20"/>
      <w:r>
        <w:rPr>
          <w:rFonts w:hint="eastAsia" w:ascii="黑体" w:hAnsi="黑体" w:eastAsia="黑体"/>
          <w:color w:val="auto"/>
          <w:sz w:val="28"/>
          <w:szCs w:val="28"/>
          <w:highlight w:val="none"/>
        </w:rPr>
        <w:t>竞争性磋商响应文件截止时间和地点</w:t>
      </w:r>
    </w:p>
    <w:p w14:paraId="33A9C674">
      <w:pPr>
        <w:spacing w:line="500" w:lineRule="exact"/>
        <w:ind w:firstLine="560"/>
        <w:rPr>
          <w:rFonts w:ascii="仿宋" w:hAnsi="仿宋" w:eastAsia="仿宋"/>
          <w:bCs/>
          <w:color w:val="auto"/>
          <w:sz w:val="28"/>
          <w:szCs w:val="28"/>
          <w:highlight w:val="none"/>
        </w:rPr>
      </w:pPr>
      <w:r>
        <w:rPr>
          <w:rFonts w:hint="eastAsia" w:ascii="仿宋" w:hAnsi="仿宋" w:eastAsia="仿宋"/>
          <w:color w:val="auto"/>
          <w:sz w:val="28"/>
          <w:szCs w:val="28"/>
          <w:highlight w:val="none"/>
        </w:rPr>
        <w:t>截止时间：2025</w:t>
      </w:r>
      <w:r>
        <w:rPr>
          <w:rFonts w:hint="eastAsia" w:ascii="仿宋" w:hAnsi="仿宋" w:eastAsia="仿宋"/>
          <w:bCs/>
          <w:color w:val="auto"/>
          <w:sz w:val="28"/>
          <w:szCs w:val="28"/>
          <w:highlight w:val="none"/>
        </w:rPr>
        <w:t>年1</w:t>
      </w:r>
      <w:r>
        <w:rPr>
          <w:rFonts w:hint="eastAsia" w:ascii="仿宋" w:hAnsi="仿宋" w:eastAsia="仿宋"/>
          <w:bCs/>
          <w:color w:val="auto"/>
          <w:sz w:val="28"/>
          <w:szCs w:val="28"/>
          <w:highlight w:val="none"/>
          <w:lang w:val="en-US" w:eastAsia="zh-CN"/>
        </w:rPr>
        <w:t>2</w:t>
      </w:r>
      <w:r>
        <w:rPr>
          <w:rFonts w:hint="eastAsia" w:ascii="仿宋" w:hAnsi="仿宋" w:eastAsia="仿宋"/>
          <w:bCs/>
          <w:color w:val="auto"/>
          <w:sz w:val="28"/>
          <w:szCs w:val="28"/>
          <w:highlight w:val="none"/>
        </w:rPr>
        <w:t>月</w:t>
      </w:r>
      <w:r>
        <w:rPr>
          <w:rFonts w:hint="eastAsia" w:ascii="仿宋" w:hAnsi="仿宋" w:eastAsia="仿宋"/>
          <w:bCs/>
          <w:color w:val="auto"/>
          <w:sz w:val="28"/>
          <w:szCs w:val="28"/>
          <w:highlight w:val="none"/>
          <w:lang w:val="en-US" w:eastAsia="zh-CN"/>
        </w:rPr>
        <w:t>01</w:t>
      </w:r>
      <w:r>
        <w:rPr>
          <w:rFonts w:hint="eastAsia" w:ascii="仿宋" w:hAnsi="仿宋" w:eastAsia="仿宋"/>
          <w:bCs/>
          <w:color w:val="auto"/>
          <w:sz w:val="28"/>
          <w:szCs w:val="28"/>
          <w:highlight w:val="none"/>
        </w:rPr>
        <w:t>日9点00分（北京时间）</w:t>
      </w:r>
    </w:p>
    <w:p w14:paraId="0EDA2A1F">
      <w:pPr>
        <w:pStyle w:val="15"/>
        <w:spacing w:after="0" w:line="500" w:lineRule="exact"/>
        <w:ind w:firstLine="560"/>
        <w:rPr>
          <w:rFonts w:ascii="仿宋" w:hAnsi="仿宋" w:eastAsia="仿宋"/>
          <w:color w:val="auto"/>
          <w:sz w:val="28"/>
          <w:szCs w:val="28"/>
          <w:highlight w:val="none"/>
        </w:rPr>
      </w:pPr>
      <w:bookmarkStart w:id="21" w:name="_Toc28359017"/>
      <w:bookmarkStart w:id="22" w:name="_Toc28359094"/>
      <w:bookmarkStart w:id="23" w:name="_Toc35393803"/>
      <w:bookmarkStart w:id="24" w:name="_Toc35393634"/>
      <w:r>
        <w:rPr>
          <w:rFonts w:hint="eastAsia" w:ascii="仿宋" w:hAnsi="仿宋" w:eastAsia="仿宋"/>
          <w:color w:val="auto"/>
          <w:sz w:val="28"/>
          <w:szCs w:val="28"/>
          <w:highlight w:val="none"/>
        </w:rPr>
        <w:t>地点：通过“苏采云”系统提交，具体详见《江苏省政府采购管理交易系统（苏采云）投标人操作手册》。</w:t>
      </w:r>
    </w:p>
    <w:p w14:paraId="1AFF5C90">
      <w:pPr>
        <w:pStyle w:val="15"/>
        <w:spacing w:after="0"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开启时间：2025年1</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月</w:t>
      </w:r>
      <w:r>
        <w:rPr>
          <w:rFonts w:hint="eastAsia" w:ascii="仿宋" w:hAnsi="仿宋" w:eastAsia="仿宋"/>
          <w:color w:val="auto"/>
          <w:sz w:val="28"/>
          <w:szCs w:val="28"/>
          <w:highlight w:val="none"/>
          <w:lang w:val="en-US" w:eastAsia="zh-CN"/>
        </w:rPr>
        <w:t>01</w:t>
      </w:r>
      <w:r>
        <w:rPr>
          <w:rFonts w:hint="eastAsia" w:ascii="仿宋" w:hAnsi="仿宋" w:eastAsia="仿宋"/>
          <w:color w:val="auto"/>
          <w:sz w:val="28"/>
          <w:szCs w:val="28"/>
          <w:highlight w:val="none"/>
        </w:rPr>
        <w:t>日9点00分（北京时间）</w:t>
      </w:r>
    </w:p>
    <w:p w14:paraId="0F6C5381">
      <w:pPr>
        <w:pStyle w:val="15"/>
        <w:spacing w:after="0"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开启地点：“苏采云”系统（网址：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7"/>
          <w:rFonts w:hint="eastAsia" w:ascii="仿宋" w:hAnsi="仿宋" w:eastAsia="仿宋"/>
          <w:color w:val="auto"/>
          <w:sz w:val="28"/>
          <w:szCs w:val="28"/>
          <w:highlight w:val="none"/>
        </w:rPr>
        <w:t>http://jszfcg.jsczt.cn/）“开标大厅”。</w:t>
      </w:r>
      <w:r>
        <w:rPr>
          <w:rStyle w:val="17"/>
          <w:rFonts w:hint="eastAsia" w:ascii="仿宋" w:hAnsi="仿宋" w:eastAsia="仿宋"/>
          <w:color w:val="auto"/>
          <w:sz w:val="28"/>
          <w:szCs w:val="28"/>
          <w:highlight w:val="none"/>
        </w:rPr>
        <w:fldChar w:fldCharType="end"/>
      </w:r>
    </w:p>
    <w:p w14:paraId="364C698A">
      <w:pPr>
        <w:pStyle w:val="15"/>
        <w:spacing w:after="0" w:line="500" w:lineRule="exact"/>
        <w:ind w:firstLine="560"/>
        <w:rPr>
          <w:rFonts w:ascii="黑体" w:hAnsi="黑体" w:eastAsia="黑体"/>
          <w:color w:val="auto"/>
          <w:sz w:val="28"/>
          <w:szCs w:val="28"/>
          <w:highlight w:val="none"/>
        </w:rPr>
      </w:pPr>
      <w:r>
        <w:rPr>
          <w:rFonts w:hint="eastAsia" w:ascii="黑体" w:hAnsi="黑体" w:eastAsia="黑体"/>
          <w:color w:val="auto"/>
          <w:sz w:val="28"/>
          <w:szCs w:val="28"/>
          <w:highlight w:val="none"/>
        </w:rPr>
        <w:t>五、公告期限</w:t>
      </w:r>
      <w:bookmarkEnd w:id="21"/>
      <w:bookmarkEnd w:id="22"/>
      <w:bookmarkEnd w:id="23"/>
      <w:bookmarkEnd w:id="24"/>
    </w:p>
    <w:p w14:paraId="6F4E7AD5">
      <w:pPr>
        <w:spacing w:line="50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自本公告发布之日起3个工作日。</w:t>
      </w:r>
    </w:p>
    <w:p w14:paraId="526010A2">
      <w:pPr>
        <w:pStyle w:val="15"/>
        <w:spacing w:after="0" w:line="500" w:lineRule="exact"/>
        <w:ind w:firstLine="560"/>
        <w:rPr>
          <w:rFonts w:ascii="黑体" w:hAnsi="黑体" w:eastAsia="黑体"/>
          <w:color w:val="auto"/>
          <w:sz w:val="28"/>
          <w:szCs w:val="28"/>
          <w:highlight w:val="none"/>
        </w:rPr>
      </w:pPr>
      <w:bookmarkStart w:id="25" w:name="_Toc35393804"/>
      <w:bookmarkStart w:id="26" w:name="_Toc35393635"/>
      <w:r>
        <w:rPr>
          <w:rFonts w:hint="eastAsia" w:ascii="黑体" w:hAnsi="黑体" w:eastAsia="黑体"/>
          <w:color w:val="auto"/>
          <w:sz w:val="28"/>
          <w:szCs w:val="28"/>
          <w:highlight w:val="none"/>
        </w:rPr>
        <w:t>六、其他补充事宜</w:t>
      </w:r>
      <w:bookmarkEnd w:id="25"/>
      <w:bookmarkEnd w:id="26"/>
    </w:p>
    <w:p w14:paraId="56A4F341">
      <w:pPr>
        <w:spacing w:line="500" w:lineRule="exact"/>
        <w:ind w:firstLine="565" w:firstLineChars="202"/>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1.</w:t>
      </w:r>
      <w:r>
        <w:rPr>
          <w:rFonts w:hint="eastAsia" w:ascii="仿宋" w:hAnsi="仿宋" w:eastAsia="仿宋" w:cs="宋体"/>
          <w:bCs/>
          <w:color w:val="auto"/>
          <w:sz w:val="28"/>
          <w:szCs w:val="28"/>
          <w:highlight w:val="none"/>
        </w:rPr>
        <w:t>本项目采用电子化交易模式，</w:t>
      </w:r>
      <w:r>
        <w:rPr>
          <w:rFonts w:hint="eastAsia" w:ascii="仿宋" w:hAnsi="仿宋" w:eastAsia="仿宋"/>
          <w:color w:val="auto"/>
          <w:sz w:val="28"/>
          <w:szCs w:val="28"/>
          <w:highlight w:val="none"/>
        </w:rPr>
        <w:t>具体详见《江苏省政府采购管理交易系统（苏采云）投标人操作手册》，特别</w:t>
      </w:r>
      <w:r>
        <w:rPr>
          <w:rFonts w:hint="eastAsia" w:ascii="仿宋" w:hAnsi="仿宋" w:eastAsia="仿宋" w:cs="宋体"/>
          <w:bCs/>
          <w:color w:val="auto"/>
          <w:sz w:val="28"/>
          <w:szCs w:val="28"/>
          <w:highlight w:val="none"/>
        </w:rPr>
        <w:t>注意以下事项：</w:t>
      </w:r>
    </w:p>
    <w:p w14:paraId="0BA7CD5C">
      <w:pPr>
        <w:spacing w:line="500" w:lineRule="exact"/>
        <w:ind w:firstLine="560" w:firstLineChars="200"/>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（1）“苏采云”系统的网址为：http://jszfcg.jsczt.cn/；</w:t>
      </w:r>
    </w:p>
    <w:p w14:paraId="307D6EBF">
      <w:pPr>
        <w:spacing w:line="500" w:lineRule="exact"/>
        <w:ind w:firstLine="560" w:firstLineChars="200"/>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（2）响应供应商需办理“CA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13"/>
          <w:rFonts w:ascii="仿宋" w:hAnsi="仿宋" w:eastAsia="仿宋" w:cs="宋体"/>
          <w:bCs/>
          <w:color w:val="auto"/>
          <w:sz w:val="28"/>
          <w:szCs w:val="28"/>
          <w:highlight w:val="none"/>
        </w:rPr>
        <w:t>http://jsxcmm.com/help/gys.html</w:t>
      </w:r>
      <w:r>
        <w:rPr>
          <w:rStyle w:val="13"/>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w:t>
      </w:r>
      <w:r>
        <w:rPr>
          <w:rFonts w:hint="eastAsia" w:ascii="仿宋" w:hAnsi="仿宋" w:eastAsia="仿宋" w:cs="宋体"/>
          <w:bCs/>
          <w:color w:val="auto"/>
          <w:sz w:val="28"/>
          <w:szCs w:val="28"/>
          <w:highlight w:val="none"/>
        </w:rPr>
        <w:t>。</w:t>
      </w:r>
    </w:p>
    <w:p w14:paraId="168A36E1">
      <w:pPr>
        <w:spacing w:line="500" w:lineRule="exact"/>
        <w:ind w:firstLine="560" w:firstLineChars="200"/>
        <w:rPr>
          <w:rFonts w:ascii="仿宋" w:hAnsi="仿宋" w:eastAsia="仿宋"/>
          <w:color w:val="auto"/>
          <w:sz w:val="28"/>
          <w:szCs w:val="28"/>
          <w:highlight w:val="none"/>
        </w:rPr>
      </w:pPr>
      <w:r>
        <w:rPr>
          <w:rFonts w:hint="eastAsia" w:ascii="仿宋" w:hAnsi="仿宋" w:eastAsia="仿宋" w:cs="仿宋"/>
          <w:color w:val="auto"/>
          <w:sz w:val="28"/>
          <w:szCs w:val="28"/>
          <w:highlight w:val="none"/>
        </w:rPr>
        <w:t>（3）</w:t>
      </w:r>
      <w:r>
        <w:rPr>
          <w:rFonts w:ascii="仿宋" w:hAnsi="仿宋" w:eastAsia="仿宋"/>
          <w:color w:val="auto"/>
          <w:sz w:val="28"/>
          <w:szCs w:val="28"/>
          <w:highlight w:val="none"/>
        </w:rPr>
        <w:t>使用谷歌浏览器。</w:t>
      </w:r>
    </w:p>
    <w:p w14:paraId="5CF2AEB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（4）</w:t>
      </w:r>
      <w:r>
        <w:rPr>
          <w:rFonts w:ascii="仿宋" w:hAnsi="仿宋" w:eastAsia="仿宋"/>
          <w:color w:val="auto"/>
          <w:sz w:val="28"/>
          <w:szCs w:val="28"/>
          <w:highlight w:val="none"/>
        </w:rPr>
        <w:t>提前准备好麦克风、音响，摄像头，</w:t>
      </w:r>
      <w:r>
        <w:rPr>
          <w:rFonts w:hint="eastAsia" w:ascii="仿宋" w:hAnsi="仿宋" w:eastAsia="仿宋"/>
          <w:color w:val="auto"/>
          <w:sz w:val="28"/>
          <w:szCs w:val="28"/>
          <w:highlight w:val="none"/>
        </w:rPr>
        <w:t>并</w:t>
      </w:r>
      <w:r>
        <w:rPr>
          <w:rFonts w:ascii="仿宋" w:hAnsi="仿宋" w:eastAsia="仿宋"/>
          <w:color w:val="auto"/>
          <w:sz w:val="28"/>
          <w:szCs w:val="28"/>
          <w:highlight w:val="none"/>
        </w:rPr>
        <w:t>检查保证能够正常使用。</w:t>
      </w:r>
    </w:p>
    <w:p w14:paraId="2021E37A">
      <w:pPr>
        <w:spacing w:line="500" w:lineRule="exact"/>
        <w:ind w:firstLine="560" w:firstLineChars="200"/>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（5）</w:t>
      </w:r>
      <w:r>
        <w:rPr>
          <w:rFonts w:ascii="仿宋" w:hAnsi="仿宋" w:eastAsia="仿宋"/>
          <w:color w:val="auto"/>
          <w:sz w:val="28"/>
          <w:szCs w:val="28"/>
          <w:highlight w:val="none"/>
        </w:rPr>
        <w:t>操作系统至少win7以上，建议使用win10操作系统。</w:t>
      </w:r>
    </w:p>
    <w:p w14:paraId="77712A6B">
      <w:pPr>
        <w:spacing w:line="500" w:lineRule="exact"/>
        <w:ind w:firstLine="560" w:firstLineChars="200"/>
        <w:rPr>
          <w:rFonts w:ascii="仿宋" w:hAnsi="仿宋" w:eastAsia="仿宋"/>
          <w:b/>
          <w:color w:val="auto"/>
          <w:sz w:val="28"/>
          <w:szCs w:val="28"/>
          <w:highlight w:val="none"/>
        </w:rPr>
      </w:pPr>
      <w:r>
        <w:rPr>
          <w:rFonts w:hint="eastAsia" w:ascii="仿宋" w:hAnsi="仿宋" w:eastAsia="仿宋" w:cs="宋体"/>
          <w:bCs/>
          <w:color w:val="auto"/>
          <w:sz w:val="28"/>
          <w:szCs w:val="28"/>
          <w:highlight w:val="none"/>
        </w:rPr>
        <w:t>（6）供应商应当通过“苏采云”系统提交电子响应文件，响应文件不得超过150M。</w:t>
      </w:r>
    </w:p>
    <w:p w14:paraId="4144BFCC">
      <w:pPr>
        <w:spacing w:line="500" w:lineRule="exact"/>
        <w:ind w:firstLine="565"/>
        <w:rPr>
          <w:rFonts w:ascii="仿宋" w:hAnsi="仿宋" w:eastAsia="仿宋"/>
          <w:b/>
          <w:color w:val="auto"/>
          <w:sz w:val="28"/>
          <w:szCs w:val="28"/>
          <w:highlight w:val="none"/>
        </w:rPr>
      </w:pPr>
      <w:r>
        <w:rPr>
          <w:rFonts w:hint="eastAsia" w:ascii="仿宋" w:hAnsi="仿宋" w:eastAsia="仿宋" w:cs="宋体"/>
          <w:color w:val="auto"/>
          <w:sz w:val="28"/>
          <w:szCs w:val="28"/>
          <w:highlight w:val="none"/>
        </w:rPr>
        <w:t>2. 磋商</w:t>
      </w:r>
      <w:r>
        <w:rPr>
          <w:rFonts w:ascii="仿宋" w:hAnsi="仿宋" w:eastAsia="仿宋" w:cs="宋体"/>
          <w:color w:val="auto"/>
          <w:sz w:val="28"/>
          <w:szCs w:val="28"/>
          <w:highlight w:val="none"/>
        </w:rPr>
        <w:t>保证金</w:t>
      </w:r>
      <w:r>
        <w:rPr>
          <w:rFonts w:hint="eastAsia" w:ascii="仿宋" w:hAnsi="仿宋" w:eastAsia="仿宋" w:cs="宋体"/>
          <w:color w:val="auto"/>
          <w:sz w:val="28"/>
          <w:szCs w:val="28"/>
          <w:highlight w:val="none"/>
        </w:rPr>
        <w:t>及履约保证金</w:t>
      </w:r>
      <w:r>
        <w:rPr>
          <w:rFonts w:ascii="仿宋" w:hAnsi="仿宋" w:eastAsia="仿宋" w:cs="宋体"/>
          <w:color w:val="auto"/>
          <w:sz w:val="28"/>
          <w:szCs w:val="28"/>
          <w:highlight w:val="none"/>
        </w:rPr>
        <w:t>：免收</w:t>
      </w:r>
    </w:p>
    <w:p w14:paraId="4415CE7C">
      <w:pPr>
        <w:pStyle w:val="15"/>
        <w:spacing w:after="0" w:line="500" w:lineRule="exact"/>
        <w:ind w:firstLine="560"/>
        <w:rPr>
          <w:rFonts w:ascii="黑体" w:hAnsi="黑体" w:eastAsia="黑体"/>
          <w:color w:val="auto"/>
          <w:sz w:val="28"/>
          <w:szCs w:val="28"/>
          <w:highlight w:val="none"/>
        </w:rPr>
      </w:pPr>
      <w:r>
        <w:rPr>
          <w:rFonts w:hint="eastAsia" w:ascii="黑体" w:hAnsi="黑体" w:eastAsia="黑体"/>
          <w:color w:val="auto"/>
          <w:sz w:val="28"/>
          <w:szCs w:val="28"/>
          <w:highlight w:val="none"/>
        </w:rPr>
        <w:t>七、凡对本次采购提出询问，请按</w:t>
      </w:r>
      <w:r>
        <w:rPr>
          <w:rFonts w:ascii="黑体" w:hAnsi="黑体" w:eastAsia="黑体"/>
          <w:color w:val="auto"/>
          <w:sz w:val="28"/>
          <w:szCs w:val="28"/>
          <w:highlight w:val="none"/>
        </w:rPr>
        <w:t>以下方式</w:t>
      </w:r>
      <w:r>
        <w:rPr>
          <w:rFonts w:hint="eastAsia" w:ascii="黑体" w:hAnsi="黑体" w:eastAsia="黑体"/>
          <w:color w:val="auto"/>
          <w:sz w:val="28"/>
          <w:szCs w:val="28"/>
          <w:highlight w:val="none"/>
        </w:rPr>
        <w:t>联系。</w:t>
      </w:r>
      <w:bookmarkEnd w:id="13"/>
      <w:bookmarkEnd w:id="14"/>
      <w:bookmarkEnd w:id="15"/>
      <w:bookmarkEnd w:id="16"/>
    </w:p>
    <w:p w14:paraId="1F90B2A2">
      <w:pPr>
        <w:spacing w:line="500" w:lineRule="exact"/>
        <w:ind w:firstLine="540"/>
        <w:rPr>
          <w:rFonts w:ascii="仿宋" w:hAnsi="仿宋" w:eastAsia="仿宋" w:cs="宋体"/>
          <w:color w:val="auto"/>
          <w:sz w:val="28"/>
          <w:szCs w:val="28"/>
          <w:highlight w:val="none"/>
        </w:rPr>
      </w:pPr>
      <w:bookmarkStart w:id="27" w:name="_Toc35393637"/>
      <w:bookmarkStart w:id="28" w:name="_Toc28359096"/>
      <w:bookmarkStart w:id="29" w:name="_Toc28359019"/>
      <w:bookmarkStart w:id="30" w:name="_Toc35393806"/>
      <w:r>
        <w:rPr>
          <w:rFonts w:hint="eastAsia" w:ascii="仿宋" w:hAnsi="仿宋" w:eastAsia="仿宋" w:cs="宋体"/>
          <w:color w:val="auto"/>
          <w:sz w:val="28"/>
          <w:szCs w:val="28"/>
          <w:highlight w:val="none"/>
        </w:rPr>
        <w:t>1. 采购人信息</w:t>
      </w:r>
      <w:bookmarkEnd w:id="27"/>
      <w:bookmarkEnd w:id="28"/>
      <w:bookmarkEnd w:id="29"/>
      <w:bookmarkEnd w:id="30"/>
    </w:p>
    <w:p w14:paraId="285F6188">
      <w:pPr>
        <w:spacing w:line="500" w:lineRule="exact"/>
        <w:ind w:left="1129" w:hanging="350"/>
        <w:jc w:val="left"/>
        <w:rPr>
          <w:rFonts w:ascii="仿宋" w:hAnsi="仿宋" w:eastAsia="仿宋"/>
          <w:color w:val="auto"/>
          <w:sz w:val="28"/>
          <w:szCs w:val="28"/>
          <w:highlight w:val="none"/>
        </w:rPr>
      </w:pPr>
      <w:r>
        <w:rPr>
          <w:rFonts w:hint="eastAsia" w:ascii="仿宋" w:hAnsi="仿宋" w:eastAsia="仿宋"/>
          <w:color w:val="auto"/>
          <w:sz w:val="28"/>
          <w:szCs w:val="28"/>
          <w:highlight w:val="none"/>
        </w:rPr>
        <w:t>名    称：</w:t>
      </w:r>
      <w:r>
        <w:rPr>
          <w:rFonts w:hint="eastAsia" w:ascii="仿宋" w:hAnsi="仿宋" w:eastAsia="仿宋"/>
          <w:color w:val="auto"/>
          <w:sz w:val="28"/>
          <w:szCs w:val="28"/>
          <w:highlight w:val="none"/>
          <w:u w:val="single"/>
        </w:rPr>
        <w:t>江苏省如皋高新技术产业开发区管理委员会</w:t>
      </w:r>
    </w:p>
    <w:p w14:paraId="70070F89">
      <w:pPr>
        <w:spacing w:line="500" w:lineRule="exact"/>
        <w:ind w:left="1129" w:hanging="350"/>
        <w:jc w:val="lef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地    址：</w:t>
      </w:r>
      <w:r>
        <w:rPr>
          <w:rFonts w:hint="eastAsia" w:ascii="仿宋" w:hAnsi="仿宋" w:eastAsia="仿宋"/>
          <w:color w:val="auto"/>
          <w:sz w:val="28"/>
          <w:szCs w:val="28"/>
          <w:highlight w:val="none"/>
          <w:u w:val="single"/>
        </w:rPr>
        <w:t>江苏省如皋高新区</w:t>
      </w:r>
    </w:p>
    <w:p w14:paraId="105EAFC1">
      <w:pPr>
        <w:spacing w:line="500" w:lineRule="exact"/>
        <w:ind w:left="1129" w:hanging="350"/>
        <w:jc w:val="left"/>
        <w:rPr>
          <w:rFonts w:ascii="仿宋" w:hAnsi="仿宋" w:eastAsia="仿宋"/>
          <w:color w:val="auto"/>
          <w:sz w:val="28"/>
          <w:szCs w:val="28"/>
          <w:highlight w:val="none"/>
        </w:rPr>
      </w:pPr>
      <w:r>
        <w:rPr>
          <w:rFonts w:hint="eastAsia" w:ascii="仿宋" w:hAnsi="仿宋" w:eastAsia="仿宋"/>
          <w:color w:val="auto"/>
          <w:sz w:val="28"/>
          <w:szCs w:val="28"/>
          <w:highlight w:val="none"/>
        </w:rPr>
        <w:t>项目经办人姓名：</w:t>
      </w:r>
      <w:r>
        <w:rPr>
          <w:rFonts w:hint="eastAsia" w:ascii="仿宋" w:hAnsi="仿宋" w:eastAsia="仿宋"/>
          <w:color w:val="auto"/>
          <w:sz w:val="28"/>
          <w:szCs w:val="28"/>
          <w:highlight w:val="none"/>
          <w:u w:val="single"/>
        </w:rPr>
        <w:t>周女士</w:t>
      </w:r>
    </w:p>
    <w:p w14:paraId="297FF03E">
      <w:pPr>
        <w:spacing w:line="500" w:lineRule="exact"/>
        <w:ind w:left="1129" w:hanging="350"/>
        <w:jc w:val="left"/>
        <w:rPr>
          <w:rFonts w:ascii="仿宋" w:hAnsi="仿宋" w:eastAsia="仿宋"/>
          <w:color w:val="auto"/>
          <w:sz w:val="28"/>
          <w:szCs w:val="28"/>
          <w:highlight w:val="none"/>
        </w:rPr>
      </w:pPr>
      <w:r>
        <w:rPr>
          <w:rFonts w:hint="eastAsia" w:ascii="仿宋" w:hAnsi="仿宋" w:eastAsia="仿宋"/>
          <w:color w:val="auto"/>
          <w:sz w:val="28"/>
          <w:szCs w:val="28"/>
          <w:highlight w:val="none"/>
        </w:rPr>
        <w:t>项目经办人联系方式：</w:t>
      </w:r>
      <w:bookmarkStart w:id="31" w:name="_Toc28359097"/>
      <w:bookmarkStart w:id="32" w:name="_Toc28359020"/>
      <w:bookmarkStart w:id="33" w:name="_Toc35393638"/>
      <w:bookmarkStart w:id="34" w:name="_Toc35393807"/>
      <w:r>
        <w:rPr>
          <w:rFonts w:hint="eastAsia" w:ascii="仿宋" w:hAnsi="仿宋" w:eastAsia="仿宋"/>
          <w:color w:val="auto"/>
          <w:sz w:val="28"/>
          <w:szCs w:val="28"/>
          <w:highlight w:val="none"/>
          <w:u w:val="single"/>
        </w:rPr>
        <w:t>13773836250</w:t>
      </w:r>
    </w:p>
    <w:p w14:paraId="473C58A5">
      <w:pPr>
        <w:spacing w:line="500" w:lineRule="exact"/>
        <w:ind w:left="1129" w:hanging="350"/>
        <w:jc w:val="lef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2. 采购代理机构信息</w:t>
      </w:r>
      <w:bookmarkEnd w:id="31"/>
      <w:bookmarkEnd w:id="32"/>
      <w:bookmarkEnd w:id="33"/>
      <w:bookmarkEnd w:id="34"/>
    </w:p>
    <w:p w14:paraId="0B36E292">
      <w:pPr>
        <w:spacing w:line="500" w:lineRule="exact"/>
        <w:ind w:firstLine="840"/>
        <w:rPr>
          <w:rFonts w:ascii="仿宋" w:hAnsi="仿宋" w:eastAsia="仿宋"/>
          <w:color w:val="auto"/>
          <w:sz w:val="28"/>
          <w:szCs w:val="28"/>
          <w:highlight w:val="none"/>
        </w:rPr>
      </w:pPr>
      <w:r>
        <w:rPr>
          <w:rFonts w:hint="eastAsia" w:ascii="仿宋" w:hAnsi="仿宋" w:eastAsia="仿宋"/>
          <w:color w:val="auto"/>
          <w:sz w:val="28"/>
          <w:szCs w:val="28"/>
          <w:highlight w:val="none"/>
        </w:rPr>
        <w:t>名    称：</w:t>
      </w:r>
      <w:r>
        <w:rPr>
          <w:rFonts w:hint="eastAsia" w:ascii="仿宋" w:hAnsi="仿宋" w:eastAsia="仿宋"/>
          <w:color w:val="auto"/>
          <w:sz w:val="28"/>
          <w:szCs w:val="28"/>
          <w:highlight w:val="none"/>
          <w:u w:val="single"/>
        </w:rPr>
        <w:t>如皋市城建工程项目管理有限公司</w:t>
      </w:r>
    </w:p>
    <w:p w14:paraId="1E3633EA">
      <w:pPr>
        <w:spacing w:line="500" w:lineRule="exact"/>
        <w:ind w:firstLine="840"/>
        <w:rPr>
          <w:rFonts w:ascii="仿宋" w:hAnsi="仿宋" w:eastAsia="仿宋"/>
          <w:color w:val="auto"/>
          <w:sz w:val="28"/>
          <w:szCs w:val="28"/>
          <w:highlight w:val="none"/>
          <w:u w:val="single"/>
        </w:rPr>
      </w:pPr>
      <w:r>
        <w:rPr>
          <w:rFonts w:hint="eastAsia" w:ascii="仿宋" w:hAnsi="仿宋" w:eastAsia="仿宋"/>
          <w:color w:val="auto"/>
          <w:sz w:val="28"/>
          <w:szCs w:val="28"/>
          <w:highlight w:val="none"/>
        </w:rPr>
        <w:t>地　　址：</w:t>
      </w:r>
      <w:r>
        <w:rPr>
          <w:rFonts w:ascii="仿宋" w:hAnsi="仿宋" w:eastAsia="仿宋"/>
          <w:color w:val="auto"/>
          <w:sz w:val="28"/>
          <w:szCs w:val="28"/>
          <w:highlight w:val="none"/>
          <w:u w:val="single"/>
        </w:rPr>
        <w:t>如皋市</w:t>
      </w:r>
      <w:r>
        <w:rPr>
          <w:rFonts w:hint="eastAsia" w:ascii="仿宋" w:hAnsi="仿宋" w:eastAsia="仿宋"/>
          <w:color w:val="auto"/>
          <w:sz w:val="28"/>
          <w:szCs w:val="28"/>
          <w:highlight w:val="none"/>
          <w:u w:val="single"/>
        </w:rPr>
        <w:t>大司马南路8号</w:t>
      </w:r>
      <w:r>
        <w:rPr>
          <w:rFonts w:ascii="仿宋" w:hAnsi="仿宋" w:eastAsia="仿宋"/>
          <w:color w:val="auto"/>
          <w:sz w:val="28"/>
          <w:szCs w:val="28"/>
          <w:highlight w:val="none"/>
          <w:u w:val="single"/>
        </w:rPr>
        <w:t>前一楼</w:t>
      </w:r>
    </w:p>
    <w:p w14:paraId="1C66A427">
      <w:pPr>
        <w:spacing w:line="500" w:lineRule="exact"/>
        <w:ind w:left="1129" w:hanging="350"/>
        <w:jc w:val="left"/>
        <w:rPr>
          <w:rFonts w:ascii="仿宋" w:hAnsi="仿宋" w:eastAsia="仿宋"/>
          <w:color w:val="auto"/>
          <w:sz w:val="28"/>
          <w:szCs w:val="28"/>
          <w:highlight w:val="none"/>
        </w:rPr>
      </w:pPr>
      <w:r>
        <w:rPr>
          <w:rFonts w:hint="eastAsia" w:ascii="仿宋" w:hAnsi="仿宋" w:eastAsia="仿宋"/>
          <w:color w:val="auto"/>
          <w:sz w:val="28"/>
          <w:szCs w:val="28"/>
          <w:highlight w:val="none"/>
        </w:rPr>
        <w:t>项目经办人姓名：</w:t>
      </w:r>
      <w:r>
        <w:rPr>
          <w:rFonts w:hint="eastAsia" w:ascii="仿宋" w:hAnsi="仿宋" w:eastAsia="仿宋"/>
          <w:color w:val="auto"/>
          <w:sz w:val="28"/>
          <w:szCs w:val="28"/>
          <w:highlight w:val="none"/>
          <w:u w:val="single"/>
        </w:rPr>
        <w:t>徐相芹</w:t>
      </w:r>
    </w:p>
    <w:p w14:paraId="450CF806">
      <w:pPr>
        <w:spacing w:line="500" w:lineRule="exact"/>
        <w:ind w:left="1129" w:hanging="350"/>
        <w:jc w:val="left"/>
        <w:rPr>
          <w:rFonts w:ascii="仿宋" w:hAnsi="仿宋" w:eastAsia="仿宋"/>
          <w:color w:val="auto"/>
          <w:sz w:val="28"/>
          <w:szCs w:val="28"/>
          <w:highlight w:val="none"/>
        </w:rPr>
      </w:pPr>
      <w:r>
        <w:rPr>
          <w:rFonts w:hint="eastAsia" w:ascii="仿宋" w:hAnsi="仿宋" w:eastAsia="仿宋"/>
          <w:color w:val="auto"/>
          <w:sz w:val="28"/>
          <w:szCs w:val="28"/>
          <w:highlight w:val="none"/>
        </w:rPr>
        <w:t>项目经办人联系方式：</w:t>
      </w:r>
      <w:r>
        <w:rPr>
          <w:rFonts w:hint="eastAsia" w:ascii="仿宋" w:hAnsi="仿宋" w:eastAsia="仿宋"/>
          <w:color w:val="auto"/>
          <w:sz w:val="28"/>
          <w:szCs w:val="28"/>
          <w:highlight w:val="none"/>
          <w:u w:val="single"/>
        </w:rPr>
        <w:t>13773800561</w:t>
      </w:r>
    </w:p>
    <w:p w14:paraId="34DE4A85">
      <w:pPr>
        <w:pStyle w:val="14"/>
        <w:spacing w:line="240" w:lineRule="auto"/>
        <w:ind w:firstLine="0"/>
        <w:jc w:val="center"/>
        <w:rPr>
          <w:rFonts w:ascii="方正小标宋简体" w:eastAsia="方正小标宋简体"/>
          <w:bCs/>
          <w:color w:val="auto"/>
          <w:sz w:val="32"/>
          <w:szCs w:val="32"/>
          <w:highlight w:val="none"/>
        </w:rPr>
      </w:pPr>
      <w:r>
        <w:rPr>
          <w:rFonts w:ascii="仿宋" w:hAnsi="仿宋" w:eastAsia="仿宋"/>
          <w:b/>
          <w:color w:val="auto"/>
          <w:sz w:val="28"/>
          <w:szCs w:val="28"/>
          <w:highlight w:val="none"/>
        </w:rPr>
        <w:br w:type="page" w:clear="all"/>
      </w:r>
      <w:r>
        <w:rPr>
          <w:rFonts w:hint="eastAsia" w:ascii="方正小标宋简体" w:eastAsia="方正小标宋简体"/>
          <w:bCs/>
          <w:color w:val="auto"/>
          <w:sz w:val="32"/>
          <w:szCs w:val="32"/>
          <w:highlight w:val="none"/>
        </w:rPr>
        <w:t>第2章 磋商须知</w:t>
      </w:r>
    </w:p>
    <w:p w14:paraId="6061DB3C">
      <w:pPr>
        <w:spacing w:line="500" w:lineRule="exact"/>
        <w:ind w:firstLine="548"/>
        <w:rPr>
          <w:rFonts w:ascii="黑体" w:hAnsi="黑体" w:eastAsia="黑体"/>
          <w:color w:val="auto"/>
          <w:sz w:val="28"/>
          <w:szCs w:val="28"/>
          <w:highlight w:val="none"/>
        </w:rPr>
      </w:pPr>
      <w:r>
        <w:rPr>
          <w:rFonts w:hint="eastAsia" w:ascii="黑体" w:hAnsi="黑体" w:eastAsia="黑体"/>
          <w:color w:val="auto"/>
          <w:sz w:val="28"/>
          <w:szCs w:val="28"/>
          <w:highlight w:val="none"/>
        </w:rPr>
        <w:t>1. 参加磋商费用</w:t>
      </w:r>
    </w:p>
    <w:p w14:paraId="09C50959">
      <w:pPr>
        <w:tabs>
          <w:tab w:val="left" w:pos="900"/>
        </w:tabs>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参加竞争性磋商活动的供应商，应自行承担所有与准备和参加竞争性磋商活动有关的费用，无论磋商过程中做法和结果如何，采购人或者代理机构在任何情况下均无义务和责任承担这些费用。</w:t>
      </w:r>
    </w:p>
    <w:p w14:paraId="2799DE04">
      <w:pPr>
        <w:tabs>
          <w:tab w:val="left" w:pos="900"/>
        </w:tabs>
        <w:spacing w:line="500" w:lineRule="exact"/>
        <w:ind w:firstLine="557"/>
        <w:rPr>
          <w:rFonts w:ascii="黑体" w:hAnsi="黑体" w:eastAsia="黑体"/>
          <w:color w:val="auto"/>
          <w:sz w:val="28"/>
          <w:szCs w:val="28"/>
          <w:highlight w:val="none"/>
        </w:rPr>
      </w:pPr>
      <w:r>
        <w:rPr>
          <w:rFonts w:hint="eastAsia" w:ascii="黑体" w:hAnsi="黑体" w:eastAsia="黑体"/>
          <w:color w:val="auto"/>
          <w:sz w:val="28"/>
          <w:szCs w:val="28"/>
          <w:highlight w:val="none"/>
        </w:rPr>
        <w:t>2. 磋商文件的约束力</w:t>
      </w:r>
    </w:p>
    <w:p w14:paraId="02D6E368">
      <w:pPr>
        <w:tabs>
          <w:tab w:val="left" w:pos="900"/>
        </w:tabs>
        <w:spacing w:line="500" w:lineRule="exact"/>
        <w:ind w:left="120" w:firstLine="557"/>
        <w:rPr>
          <w:rFonts w:ascii="仿宋" w:hAnsi="仿宋" w:eastAsia="仿宋"/>
          <w:color w:val="auto"/>
          <w:sz w:val="28"/>
          <w:szCs w:val="28"/>
          <w:highlight w:val="none"/>
        </w:rPr>
      </w:pPr>
      <w:r>
        <w:rPr>
          <w:rFonts w:hint="eastAsia" w:ascii="仿宋" w:hAnsi="仿宋" w:eastAsia="仿宋"/>
          <w:color w:val="auto"/>
          <w:sz w:val="28"/>
          <w:szCs w:val="28"/>
          <w:highlight w:val="none"/>
        </w:rPr>
        <w:t>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color w:val="auto"/>
          <w:sz w:val="28"/>
          <w:szCs w:val="28"/>
          <w:highlight w:val="none"/>
        </w:rPr>
        <w:t>“苏采云”系统相关要求</w:t>
      </w:r>
      <w:r>
        <w:rPr>
          <w:rFonts w:hint="eastAsia" w:ascii="仿宋" w:hAnsi="仿宋" w:eastAsia="仿宋"/>
          <w:color w:val="auto"/>
          <w:sz w:val="28"/>
          <w:szCs w:val="28"/>
          <w:highlight w:val="none"/>
        </w:rPr>
        <w:t>等部分组成。</w:t>
      </w:r>
    </w:p>
    <w:p w14:paraId="6F5853EC">
      <w:pPr>
        <w:tabs>
          <w:tab w:val="left" w:pos="900"/>
        </w:tabs>
        <w:spacing w:line="500" w:lineRule="exact"/>
        <w:ind w:firstLine="697"/>
        <w:rPr>
          <w:rFonts w:ascii="仿宋" w:hAnsi="仿宋" w:eastAsia="仿宋"/>
          <w:color w:val="auto"/>
          <w:sz w:val="28"/>
          <w:szCs w:val="28"/>
          <w:highlight w:val="none"/>
        </w:rPr>
      </w:pPr>
      <w:r>
        <w:rPr>
          <w:rFonts w:hint="eastAsia" w:ascii="仿宋" w:hAnsi="仿宋" w:eastAsia="仿宋"/>
          <w:color w:val="auto"/>
          <w:sz w:val="28"/>
          <w:szCs w:val="28"/>
          <w:highlight w:val="none"/>
        </w:rPr>
        <w:t>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p>
    <w:p w14:paraId="593BE093">
      <w:pPr>
        <w:tabs>
          <w:tab w:val="left" w:pos="900"/>
        </w:tabs>
        <w:spacing w:line="500" w:lineRule="exact"/>
        <w:ind w:firstLine="697"/>
        <w:rPr>
          <w:rFonts w:ascii="仿宋" w:hAnsi="仿宋" w:eastAsia="仿宋"/>
          <w:color w:val="auto"/>
          <w:sz w:val="28"/>
          <w:szCs w:val="28"/>
          <w:highlight w:val="none"/>
        </w:rPr>
      </w:pPr>
      <w:r>
        <w:rPr>
          <w:rFonts w:hint="eastAsia" w:ascii="仿宋" w:hAnsi="仿宋" w:eastAsia="仿宋"/>
          <w:color w:val="auto"/>
          <w:sz w:val="28"/>
          <w:szCs w:val="28"/>
          <w:highlight w:val="none"/>
        </w:rPr>
        <w:t>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p>
    <w:p w14:paraId="1A652368">
      <w:pPr>
        <w:spacing w:line="500" w:lineRule="exact"/>
        <w:ind w:firstLine="560"/>
        <w:rPr>
          <w:rFonts w:ascii="黑体" w:hAnsi="黑体" w:eastAsia="黑体"/>
          <w:color w:val="auto"/>
          <w:sz w:val="28"/>
          <w:szCs w:val="28"/>
          <w:highlight w:val="none"/>
        </w:rPr>
      </w:pPr>
      <w:r>
        <w:rPr>
          <w:rFonts w:hint="eastAsia" w:ascii="黑体" w:hAnsi="黑体" w:eastAsia="黑体"/>
          <w:color w:val="auto"/>
          <w:sz w:val="28"/>
          <w:szCs w:val="28"/>
          <w:highlight w:val="none"/>
        </w:rPr>
        <w:t>3.响应文件编制</w:t>
      </w:r>
    </w:p>
    <w:p w14:paraId="05D9CDC0">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color w:val="auto"/>
          <w:sz w:val="28"/>
          <w:szCs w:val="28"/>
          <w:highlight w:val="none"/>
        </w:rPr>
        <w:t>。</w:t>
      </w:r>
    </w:p>
    <w:p w14:paraId="7ABEBAD7">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除技术性能另有规定外，响应文件所使用的度量衡单位，均须采用国家法定计量单位</w:t>
      </w:r>
      <w:r>
        <w:rPr>
          <w:rFonts w:ascii="仿宋" w:hAnsi="仿宋" w:eastAsia="仿宋"/>
          <w:color w:val="auto"/>
          <w:sz w:val="28"/>
          <w:szCs w:val="28"/>
          <w:highlight w:val="none"/>
        </w:rPr>
        <w:t>。</w:t>
      </w:r>
    </w:p>
    <w:p w14:paraId="75410F26">
      <w:pPr>
        <w:tabs>
          <w:tab w:val="left" w:pos="900"/>
        </w:tabs>
        <w:spacing w:line="500" w:lineRule="exact"/>
        <w:ind w:firstLine="697"/>
        <w:rPr>
          <w:rFonts w:ascii="仿宋" w:hAnsi="仿宋" w:eastAsia="仿宋"/>
          <w:color w:val="auto"/>
          <w:sz w:val="28"/>
          <w:szCs w:val="28"/>
          <w:highlight w:val="none"/>
        </w:rPr>
      </w:pPr>
      <w:r>
        <w:rPr>
          <w:rFonts w:hint="eastAsia" w:ascii="仿宋" w:hAnsi="仿宋" w:eastAsia="仿宋"/>
          <w:bCs/>
          <w:color w:val="auto"/>
          <w:sz w:val="28"/>
          <w:szCs w:val="28"/>
          <w:highlight w:val="none"/>
        </w:rPr>
        <w:t>3.3 供应商编写的响应文件应包括资格审查文件、商务技术文件、报价文件等部分，具体按照“第6章 响应文件组成”要求编写</w:t>
      </w:r>
      <w:r>
        <w:rPr>
          <w:rFonts w:ascii="仿宋" w:hAnsi="仿宋" w:eastAsia="仿宋"/>
          <w:color w:val="auto"/>
          <w:sz w:val="28"/>
          <w:szCs w:val="28"/>
          <w:highlight w:val="none"/>
        </w:rPr>
        <w:t>。</w:t>
      </w:r>
    </w:p>
    <w:p w14:paraId="49AD0457">
      <w:pPr>
        <w:spacing w:line="500" w:lineRule="exact"/>
        <w:ind w:firstLine="560"/>
        <w:rPr>
          <w:rFonts w:ascii="黑体" w:hAnsi="黑体" w:eastAsia="黑体"/>
          <w:color w:val="auto"/>
          <w:sz w:val="28"/>
          <w:szCs w:val="28"/>
          <w:highlight w:val="none"/>
        </w:rPr>
      </w:pPr>
      <w:r>
        <w:rPr>
          <w:rFonts w:hint="eastAsia" w:ascii="黑体" w:hAnsi="黑体" w:eastAsia="黑体"/>
          <w:color w:val="auto"/>
          <w:sz w:val="28"/>
          <w:szCs w:val="28"/>
          <w:highlight w:val="none"/>
        </w:rPr>
        <w:t>4.响应文件提交、撤回和修改</w:t>
      </w:r>
    </w:p>
    <w:p w14:paraId="28F8F1DF">
      <w:pPr>
        <w:spacing w:line="500" w:lineRule="exact"/>
        <w:ind w:firstLine="560"/>
        <w:rPr>
          <w:rFonts w:ascii="仿宋" w:hAnsi="仿宋" w:eastAsia="仿宋"/>
          <w:bCs/>
          <w:color w:val="auto"/>
          <w:sz w:val="28"/>
          <w:szCs w:val="28"/>
          <w:highlight w:val="none"/>
        </w:rPr>
      </w:pPr>
      <w:r>
        <w:rPr>
          <w:rFonts w:hint="eastAsia" w:ascii="仿宋" w:hAnsi="仿宋" w:eastAsia="仿宋"/>
          <w:color w:val="auto"/>
          <w:sz w:val="28"/>
          <w:szCs w:val="28"/>
          <w:highlight w:val="none"/>
        </w:rPr>
        <w:t>4.1 供应商</w:t>
      </w:r>
      <w:r>
        <w:rPr>
          <w:rFonts w:hint="eastAsia" w:ascii="仿宋" w:hAnsi="仿宋" w:eastAsia="仿宋"/>
          <w:bCs/>
          <w:color w:val="auto"/>
          <w:sz w:val="28"/>
          <w:szCs w:val="28"/>
          <w:highlight w:val="none"/>
        </w:rPr>
        <w:t>对CA证书妥善保管，如被他人盗用投标，因此带来的结果均由供应商自行承担。</w:t>
      </w:r>
    </w:p>
    <w:p w14:paraId="74B9149C">
      <w:pPr>
        <w:spacing w:line="500" w:lineRule="exact"/>
        <w:ind w:firstLine="560"/>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供应商应当按照采购文件和“苏采云”系统的要求编制并加密响应文件。</w:t>
      </w:r>
    </w:p>
    <w:p w14:paraId="1F1BAF69">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4.3 供应商应当对采购文件提出的实质性要求和条件作出实质性响应，并在电子投标系统逐条应答。</w:t>
      </w:r>
    </w:p>
    <w:p w14:paraId="0AF62DF7">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4.4 供应商应对要求提供的资格证明文件（如资质证书、资格证书）、技术资料（如白皮书、彩页、手册、检测报告等）扫描上传至投标系统。</w:t>
      </w:r>
    </w:p>
    <w:p w14:paraId="27F1D681">
      <w:pPr>
        <w:spacing w:line="500" w:lineRule="exact"/>
        <w:ind w:firstLine="560"/>
        <w:rPr>
          <w:rFonts w:ascii="仿宋" w:hAnsi="仿宋" w:eastAsia="仿宋"/>
          <w:color w:val="auto"/>
          <w:sz w:val="28"/>
          <w:szCs w:val="28"/>
          <w:highlight w:val="none"/>
        </w:rPr>
      </w:pPr>
      <w:r>
        <w:rPr>
          <w:rFonts w:hint="eastAsia" w:ascii="仿宋" w:hAnsi="仿宋" w:eastAsia="仿宋"/>
          <w:bCs/>
          <w:color w:val="auto"/>
          <w:sz w:val="28"/>
          <w:szCs w:val="28"/>
          <w:highlight w:val="none"/>
        </w:rPr>
        <w:t>4.5 供应商须通过“苏采云”系统提供的政府采购客户端工具（使用“CA数字证书”）加盖电子签章，并对电子响应文件加密。未按规定加密的响应文件，“苏采云”系统拒收并提示。</w:t>
      </w:r>
    </w:p>
    <w:p w14:paraId="162886F3">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p>
    <w:p w14:paraId="7C2F711B">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4.7 供应商可在响应文件提交截止时间前，撤回其电子响应文件，具体操作方法见《江苏省政府采购（供应商）国信CA数字证书及电子签章办理指南》。供应商撤回电子响应文件的，则认为其不再参与本项目磋商活动。</w:t>
      </w:r>
    </w:p>
    <w:p w14:paraId="71A6EA5A">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4.8供应商可在响应文件提交截止时间前，对其电子响应文件进行修改。在响应文件提交截止时间之后，供应商不得对其电子响应文件作任何修改。</w:t>
      </w:r>
    </w:p>
    <w:p w14:paraId="18E105C0">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4.9 采购代理机构可以通过修改磋商文件，酌情延长响应文件提交截止时间。</w:t>
      </w:r>
    </w:p>
    <w:p w14:paraId="26E03FF8">
      <w:pPr>
        <w:tabs>
          <w:tab w:val="left" w:pos="900"/>
        </w:tabs>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4.10 响应文件的有效期：从提交响应文件截止日起90天。</w:t>
      </w:r>
    </w:p>
    <w:p w14:paraId="2820A0B1">
      <w:pPr>
        <w:tabs>
          <w:tab w:val="left" w:pos="900"/>
        </w:tabs>
        <w:spacing w:line="500" w:lineRule="exact"/>
        <w:ind w:firstLine="560"/>
        <w:rPr>
          <w:rFonts w:ascii="仿宋" w:hAnsi="仿宋" w:eastAsia="仿宋"/>
          <w:color w:val="auto"/>
          <w:sz w:val="28"/>
          <w:szCs w:val="28"/>
          <w:highlight w:val="none"/>
        </w:rPr>
      </w:pPr>
      <w:r>
        <w:rPr>
          <w:rFonts w:hint="eastAsia" w:ascii="黑体" w:hAnsi="黑体" w:eastAsia="黑体"/>
          <w:color w:val="auto"/>
          <w:sz w:val="28"/>
          <w:szCs w:val="28"/>
          <w:highlight w:val="none"/>
        </w:rPr>
        <w:t>5. 磋商</w:t>
      </w:r>
    </w:p>
    <w:p w14:paraId="4C9CDF58">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5.1 采购人或者代理机构将在竞争性磋商公告中规定的时间和地点组织竞争性磋商活动。</w:t>
      </w:r>
    </w:p>
    <w:p w14:paraId="64512472">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5.2竞争性磋商开始前，供应商使用CA数字证书登录“苏采云”系统，并根据开标会议区发出响应文件解密的指令，在30分钟之内使用CA数字证书解密各自响应文件。</w:t>
      </w:r>
    </w:p>
    <w:p w14:paraId="09648245">
      <w:pPr>
        <w:spacing w:line="500" w:lineRule="exact"/>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p>
    <w:p w14:paraId="5C5B9D67">
      <w:pPr>
        <w:spacing w:line="500" w:lineRule="exact"/>
        <w:ind w:firstLine="560"/>
        <w:rPr>
          <w:rFonts w:ascii="仿宋" w:hAnsi="仿宋" w:eastAsia="仿宋"/>
          <w:color w:val="auto"/>
          <w:sz w:val="28"/>
          <w:szCs w:val="28"/>
          <w:highlight w:val="none"/>
        </w:rPr>
      </w:pPr>
      <w:r>
        <w:rPr>
          <w:rFonts w:hint="eastAsia" w:ascii="仿宋" w:hAnsi="仿宋" w:eastAsia="仿宋"/>
          <w:bCs/>
          <w:color w:val="auto"/>
          <w:sz w:val="28"/>
          <w:szCs w:val="28"/>
          <w:highlight w:val="none"/>
        </w:rPr>
        <w:t>5.4因采购人原因或网上招投标平台发生故障，导致无法按时完成响应文件解密或评审工作无法进行的，可根据实际情况相应延迟解密时间或调整评审时间。</w:t>
      </w:r>
    </w:p>
    <w:p w14:paraId="6EDB7E10">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5.5 磋商小组由政府采购评审专家、采购人代表组成。评审专家不得以评审专家身份参加本部门或本单位采购项目的评审。达到公开招标限额标准的项目，磋商小组应当由5人以上单数组成。</w:t>
      </w:r>
    </w:p>
    <w:p w14:paraId="47E6740A">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5.6 磋商小组对响应文件的有效性、完整性和响应程度进行审查。磋商小组在审查分为资格审查、符合性审查和综合评审。响应供应商未通过资格审查、符合性审查的，告知其具体原因。</w:t>
      </w:r>
    </w:p>
    <w:p w14:paraId="31C20294">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5.7 磋商小组审查时，可以通过视频会议，要求供应商对响应文件中含义不明确、同类问题表述不一致或者有明显文字和计算错误的内容等作出必要的澄清、说明或者更正。</w:t>
      </w:r>
    </w:p>
    <w:p w14:paraId="2D833A28">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接到澄清要求的供应商，应在磋商小组规定的时间内做出澄清，澄清的内容作为响应文件的补充部分，</w:t>
      </w:r>
      <w:r>
        <w:rPr>
          <w:rFonts w:hint="eastAsia" w:ascii="仿宋" w:hAnsi="仿宋" w:eastAsia="仿宋"/>
          <w:color w:val="auto"/>
          <w:sz w:val="28"/>
          <w:szCs w:val="28"/>
          <w:highlight w:val="none"/>
        </w:rPr>
        <w:t>但澄清、说明或者更正不得超出响应文件的范围或者改变响应文件的实质性内容。</w:t>
      </w:r>
    </w:p>
    <w:p w14:paraId="4190BA69">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供应商在评审全过程中应保持通讯畅通，并安排专人与采购人或采购代理机构及磋商小组联系</w:t>
      </w:r>
      <w:r>
        <w:rPr>
          <w:rFonts w:ascii="仿宋" w:hAnsi="仿宋" w:eastAsia="仿宋"/>
          <w:color w:val="auto"/>
          <w:sz w:val="28"/>
          <w:szCs w:val="28"/>
          <w:highlight w:val="none"/>
        </w:rPr>
        <w:t>。</w:t>
      </w:r>
    </w:p>
    <w:p w14:paraId="7403A2BF">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5.10各响应供应商请关注开标大厅交流区，响应文件解密结束后，请勿离开开标大厅。在资格审查、符合性审查和综合评审结束后，根据采购人或采购代理机构通知，须在</w:t>
      </w:r>
      <w:r>
        <w:rPr>
          <w:rFonts w:hint="eastAsia" w:ascii="仿宋" w:hAnsi="仿宋" w:eastAsia="仿宋"/>
          <w:b/>
          <w:bCs/>
          <w:color w:val="auto"/>
          <w:sz w:val="28"/>
          <w:szCs w:val="28"/>
          <w:highlight w:val="none"/>
          <w:lang w:val="en-US" w:eastAsia="zh-CN"/>
        </w:rPr>
        <w:t>3</w:t>
      </w:r>
      <w:r>
        <w:rPr>
          <w:rFonts w:hint="eastAsia" w:ascii="仿宋" w:hAnsi="仿宋" w:eastAsia="仿宋"/>
          <w:b/>
          <w:bCs/>
          <w:color w:val="auto"/>
          <w:sz w:val="28"/>
          <w:szCs w:val="28"/>
          <w:highlight w:val="none"/>
        </w:rPr>
        <w:t>0分钟</w:t>
      </w:r>
      <w:r>
        <w:rPr>
          <w:rFonts w:hint="eastAsia" w:ascii="仿宋" w:hAnsi="仿宋" w:eastAsia="仿宋"/>
          <w:color w:val="auto"/>
          <w:sz w:val="28"/>
          <w:szCs w:val="28"/>
          <w:highlight w:val="none"/>
        </w:rPr>
        <w:t>内填写并提交最后报价。未在规定时间内提交最后报价的，视为退出磋商。</w:t>
      </w:r>
    </w:p>
    <w:p w14:paraId="33D9C51F">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p>
    <w:p w14:paraId="169A1762">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5.12需经磋商由供应商提供最终设计方案或解决方案的，磋商结束后，磋商小组按照少数服从多数的原则投票推荐3家以上供应商的设计方案或者解决方案，并要求其在规定时间内提交最后报价。</w:t>
      </w:r>
    </w:p>
    <w:p w14:paraId="54331A0C">
      <w:pPr>
        <w:spacing w:line="500" w:lineRule="exact"/>
        <w:ind w:firstLine="562" w:firstLineChars="200"/>
        <w:rPr>
          <w:rFonts w:ascii="仿宋" w:hAnsi="仿宋" w:eastAsia="仿宋"/>
          <w:b/>
          <w:color w:val="auto"/>
          <w:sz w:val="28"/>
          <w:szCs w:val="28"/>
          <w:highlight w:val="none"/>
        </w:rPr>
      </w:pPr>
      <w:r>
        <w:rPr>
          <w:rFonts w:hint="eastAsia" w:ascii="仿宋" w:hAnsi="仿宋" w:eastAsia="仿宋"/>
          <w:b/>
          <w:color w:val="auto"/>
          <w:sz w:val="28"/>
          <w:szCs w:val="28"/>
          <w:highlight w:val="none"/>
        </w:rPr>
        <w:t>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p>
    <w:p w14:paraId="2DBA9218">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5.14 有下列情形之一的，视为供应商串通，其响应无效：</w:t>
      </w:r>
    </w:p>
    <w:p w14:paraId="688C3987">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5.14.1不同供应商的响应文件由同一单位或者个人编制；</w:t>
      </w:r>
    </w:p>
    <w:p w14:paraId="45F8521A">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5.14.2不同供应商的电子响应文件由同一台电子设备编制、打包、加密或者上传；</w:t>
      </w:r>
    </w:p>
    <w:p w14:paraId="5DB2EE06">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5.14.3 不同供应商的响应文件由同一供应商的电子设备打印、复印；</w:t>
      </w:r>
    </w:p>
    <w:p w14:paraId="64E8FA90">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5.14.4不同供应商的响应报价用同一个预算编制软件密码锁制作或者出自同一供应商的电子文档；</w:t>
      </w:r>
    </w:p>
    <w:p w14:paraId="4E354384">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5.14.5不同供应商从同一个单位或者同一个自然人的互联网协议地址下载竞争性磋商文件、上传响应文件；</w:t>
      </w:r>
    </w:p>
    <w:p w14:paraId="1D697075">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5.14.6 不同供应商的响应文件异常一致或者响应报价呈规律性差异；</w:t>
      </w:r>
    </w:p>
    <w:p w14:paraId="31F6A4C9">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5.14.7 不同供应商委托同一单位或者个人办理磋商事宜；</w:t>
      </w:r>
    </w:p>
    <w:p w14:paraId="18F215CF">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5.14.8不同供应商的响应文件载明的项目管理成员或者联系人员为同一人；</w:t>
      </w:r>
    </w:p>
    <w:p w14:paraId="63FDA00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5.14.9不同供应商的磋商保证金虽然经由供应商自己的基本账户转出，但所需资金来自同一单位或者个人的账户。</w:t>
      </w:r>
    </w:p>
    <w:p w14:paraId="503A87C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5.15 磋商小组认为响应供应商的报价明显低于其他通过符合性审查响应供应商的报价，有可能影响产品质量或者不能诚信履约的，可以通过视频会议，要求供应商在合理的时间内提供说明，必要时提交相关证明材料。当响应报价低于采购项目预算 50%或者低于采购项目最高限价 45%的，磋商小组应当要求相关供应商在评标现场合理的时间内，提供项目具体成本测算等与报价合理性相关的书面说明及相关证明材料，对响应报价作出解释，由磋商小组结合同类产品在主要电商平台的价格、该行业当地薪资水平等情况，依据专业经验对供应商报价合理性进行判断。投标供应商不提供书面说明、证明材料，或者提供的书面说明、证明材料不能证明其报价合理性的，磋商小组应当将其作为无效响应处理。</w:t>
      </w:r>
    </w:p>
    <w:p w14:paraId="30FFBC04">
      <w:pPr>
        <w:spacing w:line="500" w:lineRule="exact"/>
        <w:ind w:firstLine="560"/>
        <w:rPr>
          <w:rFonts w:ascii="黑体" w:hAnsi="黑体" w:eastAsia="黑体"/>
          <w:bCs/>
          <w:color w:val="auto"/>
          <w:sz w:val="28"/>
          <w:szCs w:val="28"/>
          <w:highlight w:val="none"/>
        </w:rPr>
      </w:pPr>
      <w:r>
        <w:rPr>
          <w:rFonts w:hint="eastAsia" w:ascii="黑体" w:hAnsi="黑体" w:eastAsia="黑体"/>
          <w:bCs/>
          <w:color w:val="auto"/>
          <w:sz w:val="28"/>
          <w:szCs w:val="28"/>
          <w:highlight w:val="none"/>
        </w:rPr>
        <w:t>6.成交和合同</w:t>
      </w:r>
    </w:p>
    <w:p w14:paraId="4E1D239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p>
    <w:p w14:paraId="556BF5E3">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6.2 除资格性检查认定错误、分值汇总计算错误、分项评分超出评分标准范围、客观分评分不一致、或者经磋商小组一致认定评分畸高、畸低的情形外，采购人或者采购代理机构不得以任何理由组织重新评审。</w:t>
      </w:r>
    </w:p>
    <w:p w14:paraId="03FD727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6.3 采购人与成交供应商应当在成交通知书发出之日起30日内，按照采购文件确定的合同文本以及采购标的、规格型号、采购金额、采购数量、技术和服务要求等事项签订政府采购合同。</w:t>
      </w:r>
    </w:p>
    <w:p w14:paraId="6959AB5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111BF684">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6.5 除不可抗力等因素外，成交通知书发出后，采购人改变成交结果，或者成交供应商拒绝签订政府采购合同的，应当承担相应的法律责任。拒绝签订政府采购合同的成交供应商不得参加对该项目重新开展的采购活动。</w:t>
      </w:r>
    </w:p>
    <w:p w14:paraId="6D870D99">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6.6采购人与成交供应商应当根据合同的约定依法履行合同义务。政府采购合同的履行、违约责任和解决争议的方法等适用《中华人民共和国民法典》。</w:t>
      </w:r>
    </w:p>
    <w:p w14:paraId="0E589F53">
      <w:pPr>
        <w:spacing w:line="500" w:lineRule="exact"/>
        <w:ind w:firstLine="560"/>
        <w:rPr>
          <w:rFonts w:ascii="黑体" w:hAnsi="黑体" w:eastAsia="黑体"/>
          <w:bCs/>
          <w:color w:val="auto"/>
          <w:sz w:val="28"/>
          <w:szCs w:val="28"/>
          <w:highlight w:val="none"/>
        </w:rPr>
      </w:pPr>
      <w:r>
        <w:rPr>
          <w:rFonts w:hint="eastAsia" w:ascii="黑体" w:hAnsi="黑体" w:eastAsia="黑体"/>
          <w:bCs/>
          <w:color w:val="auto"/>
          <w:sz w:val="28"/>
          <w:szCs w:val="28"/>
          <w:highlight w:val="none"/>
        </w:rPr>
        <w:t>7.政府采购政策功能落实</w:t>
      </w:r>
    </w:p>
    <w:p w14:paraId="28B142E3">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 对于非专门面向中小企业采购的项目，小微型企业享受价格扣除优惠。</w:t>
      </w:r>
    </w:p>
    <w:p w14:paraId="551E523F">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7.1.1 货物类或者服务类采购项目，采购人、采购代理机构应当对符合《政府采购促进中小企业发展管理办法》（财库〔2020〕46号）规定的小微企业报价给予10%的扣除；工程类采购项目，给予3%的扣除，给予用扣除后的价格参加评审。</w:t>
      </w:r>
    </w:p>
    <w:p w14:paraId="6D0489AA">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p>
    <w:p w14:paraId="53A6289B">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7.1.3价格扣除比例或者价格分加分比例对小型企业和微型企业同等对待，不作区分。</w:t>
      </w:r>
    </w:p>
    <w:p w14:paraId="31F525B5">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7.1.4 在政府采购活动中，供应商提供的货物、工程或者服务符合下列情形的，享受价格扣除政策：</w:t>
      </w:r>
    </w:p>
    <w:p w14:paraId="4456D40B">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7.1.4.1在货物采购项目中，货物由小微企业制造，即货物由小微企业生产且使用该小微企业商号或者注册商标；</w:t>
      </w:r>
    </w:p>
    <w:p w14:paraId="00BCFD91">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7.1.4.2在工程采购项目中，工程由小微企业承建，即工程施工单位为小微企业；</w:t>
      </w:r>
    </w:p>
    <w:p w14:paraId="69E609FA">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7.1.4.3在服务采购项目中，服务由小微企业承接，即提供服务的人员为小微企业依照《中华人民共和国劳动合同法》订立劳动合同的从业人员。</w:t>
      </w:r>
    </w:p>
    <w:p w14:paraId="5B656891">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7.1.4.4以联合体形式参加政府采购活动，联合体各方均为小微企业的，联合体视同小微企业。</w:t>
      </w:r>
    </w:p>
    <w:p w14:paraId="08547867">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p>
    <w:p w14:paraId="7BA51A47">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7.1.6 下列情形不享受价格扣除政策：</w:t>
      </w:r>
    </w:p>
    <w:p w14:paraId="779CEDCD">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7.1.6.1在货物采购项目中，供应商提供的货物既有中小企业制造货物，也有大型企业制造货物的。</w:t>
      </w:r>
    </w:p>
    <w:p w14:paraId="3F19302E">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7.1.6.2 响应供应商与大企业的负责人为同一人，或者与大企业存在直接控股、管理关系。</w:t>
      </w:r>
    </w:p>
    <w:p w14:paraId="3D9C7D63">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7.1.7《中小企业划型标准规定》（工信部联企业〔2011〕300号）</w:t>
      </w:r>
    </w:p>
    <w:tbl>
      <w:tblPr>
        <w:tblStyle w:val="1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94"/>
        <w:gridCol w:w="1625"/>
        <w:gridCol w:w="767"/>
        <w:gridCol w:w="2055"/>
        <w:gridCol w:w="1765"/>
        <w:gridCol w:w="1164"/>
      </w:tblGrid>
      <w:tr w14:paraId="209E2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jc w:val="center"/>
        </w:trPr>
        <w:tc>
          <w:tcPr>
            <w:tcW w:w="1954" w:type="dxa"/>
            <w:noWrap/>
            <w:vAlign w:val="center"/>
          </w:tcPr>
          <w:p w14:paraId="7F9300F5">
            <w:pPr>
              <w:spacing w:line="500" w:lineRule="exact"/>
              <w:jc w:val="center"/>
              <w:rPr>
                <w:rFonts w:ascii="仿宋" w:hAnsi="仿宋" w:eastAsia="仿宋"/>
                <w:b/>
                <w:color w:val="auto"/>
                <w:highlight w:val="none"/>
              </w:rPr>
            </w:pPr>
            <w:r>
              <w:rPr>
                <w:rFonts w:ascii="仿宋" w:hAnsi="仿宋" w:eastAsia="仿宋"/>
                <w:b/>
                <w:color w:val="auto"/>
                <w:highlight w:val="none"/>
              </w:rPr>
              <w:t>行业名称</w:t>
            </w:r>
          </w:p>
        </w:tc>
        <w:tc>
          <w:tcPr>
            <w:tcW w:w="1447" w:type="dxa"/>
            <w:noWrap/>
            <w:vAlign w:val="center"/>
          </w:tcPr>
          <w:p w14:paraId="2BBE9688">
            <w:pPr>
              <w:spacing w:line="500" w:lineRule="exact"/>
              <w:jc w:val="center"/>
              <w:rPr>
                <w:rFonts w:ascii="仿宋" w:hAnsi="仿宋" w:eastAsia="仿宋"/>
                <w:b/>
                <w:color w:val="auto"/>
                <w:highlight w:val="none"/>
              </w:rPr>
            </w:pPr>
            <w:r>
              <w:rPr>
                <w:rFonts w:ascii="仿宋" w:hAnsi="仿宋" w:eastAsia="仿宋"/>
                <w:b/>
                <w:color w:val="auto"/>
                <w:highlight w:val="none"/>
              </w:rPr>
              <w:t>指标名称</w:t>
            </w:r>
          </w:p>
        </w:tc>
        <w:tc>
          <w:tcPr>
            <w:tcW w:w="683" w:type="dxa"/>
            <w:noWrap/>
            <w:vAlign w:val="center"/>
          </w:tcPr>
          <w:p w14:paraId="47837191">
            <w:pPr>
              <w:spacing w:line="500" w:lineRule="exact"/>
              <w:jc w:val="center"/>
              <w:rPr>
                <w:rFonts w:ascii="仿宋" w:hAnsi="仿宋" w:eastAsia="仿宋"/>
                <w:b/>
                <w:color w:val="auto"/>
                <w:highlight w:val="none"/>
              </w:rPr>
            </w:pPr>
            <w:r>
              <w:rPr>
                <w:rFonts w:ascii="仿宋" w:hAnsi="仿宋" w:eastAsia="仿宋"/>
                <w:b/>
                <w:color w:val="auto"/>
                <w:highlight w:val="none"/>
              </w:rPr>
              <w:t>计量</w:t>
            </w:r>
          </w:p>
          <w:p w14:paraId="31BD3069">
            <w:pPr>
              <w:spacing w:line="500" w:lineRule="exact"/>
              <w:jc w:val="center"/>
              <w:rPr>
                <w:rFonts w:ascii="仿宋" w:hAnsi="仿宋" w:eastAsia="仿宋"/>
                <w:b/>
                <w:color w:val="auto"/>
                <w:highlight w:val="none"/>
              </w:rPr>
            </w:pPr>
            <w:r>
              <w:rPr>
                <w:rFonts w:ascii="仿宋" w:hAnsi="仿宋" w:eastAsia="仿宋"/>
                <w:b/>
                <w:color w:val="auto"/>
                <w:highlight w:val="none"/>
              </w:rPr>
              <w:t>单位</w:t>
            </w:r>
          </w:p>
        </w:tc>
        <w:tc>
          <w:tcPr>
            <w:tcW w:w="1830" w:type="dxa"/>
            <w:noWrap/>
            <w:vAlign w:val="center"/>
          </w:tcPr>
          <w:p w14:paraId="2F0A98DB">
            <w:pPr>
              <w:spacing w:line="500" w:lineRule="exact"/>
              <w:jc w:val="center"/>
              <w:rPr>
                <w:rFonts w:ascii="仿宋" w:hAnsi="仿宋" w:eastAsia="仿宋"/>
                <w:b/>
                <w:color w:val="auto"/>
                <w:highlight w:val="none"/>
              </w:rPr>
            </w:pPr>
            <w:r>
              <w:rPr>
                <w:rFonts w:ascii="仿宋" w:hAnsi="仿宋" w:eastAsia="仿宋"/>
                <w:b/>
                <w:color w:val="auto"/>
                <w:highlight w:val="none"/>
              </w:rPr>
              <w:t>中型</w:t>
            </w:r>
          </w:p>
        </w:tc>
        <w:tc>
          <w:tcPr>
            <w:tcW w:w="1572" w:type="dxa"/>
            <w:noWrap/>
            <w:vAlign w:val="center"/>
          </w:tcPr>
          <w:p w14:paraId="2F7DC181">
            <w:pPr>
              <w:spacing w:line="500" w:lineRule="exact"/>
              <w:jc w:val="center"/>
              <w:rPr>
                <w:rFonts w:ascii="仿宋" w:hAnsi="仿宋" w:eastAsia="仿宋"/>
                <w:b/>
                <w:color w:val="auto"/>
                <w:highlight w:val="none"/>
              </w:rPr>
            </w:pPr>
            <w:r>
              <w:rPr>
                <w:rFonts w:ascii="仿宋" w:hAnsi="仿宋" w:eastAsia="仿宋"/>
                <w:b/>
                <w:color w:val="auto"/>
                <w:highlight w:val="none"/>
              </w:rPr>
              <w:t>小型</w:t>
            </w:r>
          </w:p>
        </w:tc>
        <w:tc>
          <w:tcPr>
            <w:tcW w:w="1036" w:type="dxa"/>
            <w:noWrap/>
            <w:vAlign w:val="center"/>
          </w:tcPr>
          <w:p w14:paraId="64872909">
            <w:pPr>
              <w:spacing w:line="500" w:lineRule="exact"/>
              <w:jc w:val="center"/>
              <w:rPr>
                <w:rFonts w:ascii="仿宋" w:hAnsi="仿宋" w:eastAsia="仿宋"/>
                <w:b/>
                <w:color w:val="auto"/>
                <w:highlight w:val="none"/>
              </w:rPr>
            </w:pPr>
            <w:r>
              <w:rPr>
                <w:rFonts w:ascii="仿宋" w:hAnsi="仿宋" w:eastAsia="仿宋"/>
                <w:b/>
                <w:color w:val="auto"/>
                <w:highlight w:val="none"/>
              </w:rPr>
              <w:t>微型</w:t>
            </w:r>
          </w:p>
        </w:tc>
      </w:tr>
      <w:tr w14:paraId="1C8FE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noWrap/>
            <w:vAlign w:val="center"/>
          </w:tcPr>
          <w:p w14:paraId="326B2592">
            <w:pPr>
              <w:spacing w:line="500" w:lineRule="exact"/>
              <w:jc w:val="center"/>
              <w:rPr>
                <w:rFonts w:ascii="仿宋" w:hAnsi="仿宋" w:eastAsia="仿宋"/>
                <w:color w:val="auto"/>
                <w:highlight w:val="none"/>
              </w:rPr>
            </w:pPr>
            <w:r>
              <w:rPr>
                <w:rFonts w:ascii="仿宋" w:hAnsi="仿宋" w:eastAsia="仿宋"/>
                <w:color w:val="auto"/>
                <w:highlight w:val="none"/>
              </w:rPr>
              <w:t>农、林、牧、渔</w:t>
            </w:r>
          </w:p>
        </w:tc>
        <w:tc>
          <w:tcPr>
            <w:tcW w:w="1447" w:type="dxa"/>
            <w:noWrap/>
            <w:vAlign w:val="center"/>
          </w:tcPr>
          <w:p w14:paraId="3E0A267E">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ign w:val="center"/>
          </w:tcPr>
          <w:p w14:paraId="64335DD7">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ign w:val="center"/>
          </w:tcPr>
          <w:p w14:paraId="36995F47">
            <w:pPr>
              <w:spacing w:line="500" w:lineRule="exact"/>
              <w:jc w:val="center"/>
              <w:rPr>
                <w:rFonts w:eastAsia="仿宋"/>
                <w:color w:val="auto"/>
                <w:highlight w:val="none"/>
              </w:rPr>
            </w:pPr>
            <w:r>
              <w:rPr>
                <w:rFonts w:eastAsia="仿宋"/>
                <w:color w:val="auto"/>
                <w:highlight w:val="none"/>
              </w:rPr>
              <w:t>500≤Y&lt;20000</w:t>
            </w:r>
          </w:p>
        </w:tc>
        <w:tc>
          <w:tcPr>
            <w:tcW w:w="1572" w:type="dxa"/>
            <w:noWrap/>
            <w:vAlign w:val="center"/>
          </w:tcPr>
          <w:p w14:paraId="76D8EB07">
            <w:pPr>
              <w:spacing w:line="500" w:lineRule="exact"/>
              <w:jc w:val="center"/>
              <w:rPr>
                <w:rFonts w:eastAsia="仿宋"/>
                <w:color w:val="auto"/>
                <w:highlight w:val="none"/>
              </w:rPr>
            </w:pPr>
            <w:r>
              <w:rPr>
                <w:rFonts w:eastAsia="仿宋"/>
                <w:color w:val="auto"/>
                <w:highlight w:val="none"/>
              </w:rPr>
              <w:t>50≤Y&lt;500</w:t>
            </w:r>
          </w:p>
        </w:tc>
        <w:tc>
          <w:tcPr>
            <w:tcW w:w="1036" w:type="dxa"/>
            <w:noWrap/>
            <w:vAlign w:val="center"/>
          </w:tcPr>
          <w:p w14:paraId="6D0A2EF5">
            <w:pPr>
              <w:spacing w:line="500" w:lineRule="exact"/>
              <w:jc w:val="center"/>
              <w:rPr>
                <w:rFonts w:eastAsia="仿宋"/>
                <w:color w:val="auto"/>
                <w:highlight w:val="none"/>
              </w:rPr>
            </w:pPr>
            <w:r>
              <w:rPr>
                <w:rFonts w:eastAsia="仿宋"/>
                <w:color w:val="auto"/>
                <w:highlight w:val="none"/>
              </w:rPr>
              <w:t>Y&lt;50</w:t>
            </w:r>
          </w:p>
        </w:tc>
      </w:tr>
      <w:tr w14:paraId="6455E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noWrap/>
            <w:vAlign w:val="center"/>
          </w:tcPr>
          <w:p w14:paraId="70D405B6">
            <w:pPr>
              <w:spacing w:line="500" w:lineRule="exact"/>
              <w:jc w:val="center"/>
              <w:rPr>
                <w:rFonts w:ascii="仿宋" w:hAnsi="仿宋" w:eastAsia="仿宋"/>
                <w:color w:val="auto"/>
                <w:highlight w:val="none"/>
              </w:rPr>
            </w:pPr>
            <w:r>
              <w:rPr>
                <w:rFonts w:ascii="仿宋" w:hAnsi="仿宋" w:eastAsia="仿宋"/>
                <w:color w:val="auto"/>
                <w:highlight w:val="none"/>
              </w:rPr>
              <w:t>工业</w:t>
            </w:r>
          </w:p>
        </w:tc>
        <w:tc>
          <w:tcPr>
            <w:tcW w:w="1447" w:type="dxa"/>
            <w:noWrap/>
            <w:vAlign w:val="center"/>
          </w:tcPr>
          <w:p w14:paraId="46BD402B">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ign w:val="center"/>
          </w:tcPr>
          <w:p w14:paraId="2B4F8439">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ign w:val="center"/>
          </w:tcPr>
          <w:p w14:paraId="61DBEB37">
            <w:pPr>
              <w:spacing w:line="500" w:lineRule="exact"/>
              <w:jc w:val="center"/>
              <w:rPr>
                <w:rFonts w:eastAsia="仿宋"/>
                <w:color w:val="auto"/>
                <w:highlight w:val="none"/>
              </w:rPr>
            </w:pPr>
            <w:r>
              <w:rPr>
                <w:rFonts w:eastAsia="仿宋"/>
                <w:color w:val="auto"/>
                <w:highlight w:val="none"/>
              </w:rPr>
              <w:t>300≤X&lt;1000</w:t>
            </w:r>
          </w:p>
        </w:tc>
        <w:tc>
          <w:tcPr>
            <w:tcW w:w="1572" w:type="dxa"/>
            <w:noWrap/>
            <w:vAlign w:val="center"/>
          </w:tcPr>
          <w:p w14:paraId="00BCC069">
            <w:pPr>
              <w:spacing w:line="500" w:lineRule="exact"/>
              <w:jc w:val="center"/>
              <w:rPr>
                <w:rFonts w:eastAsia="仿宋"/>
                <w:color w:val="auto"/>
                <w:highlight w:val="none"/>
              </w:rPr>
            </w:pPr>
            <w:r>
              <w:rPr>
                <w:rFonts w:eastAsia="仿宋"/>
                <w:color w:val="auto"/>
                <w:highlight w:val="none"/>
              </w:rPr>
              <w:t>20≤X&lt;300</w:t>
            </w:r>
          </w:p>
        </w:tc>
        <w:tc>
          <w:tcPr>
            <w:tcW w:w="1036" w:type="dxa"/>
            <w:noWrap/>
            <w:vAlign w:val="center"/>
          </w:tcPr>
          <w:p w14:paraId="5324CA57">
            <w:pPr>
              <w:spacing w:line="500" w:lineRule="exact"/>
              <w:jc w:val="center"/>
              <w:rPr>
                <w:rFonts w:eastAsia="仿宋"/>
                <w:color w:val="auto"/>
                <w:highlight w:val="none"/>
              </w:rPr>
            </w:pPr>
            <w:r>
              <w:rPr>
                <w:rFonts w:eastAsia="仿宋"/>
                <w:color w:val="auto"/>
                <w:highlight w:val="none"/>
              </w:rPr>
              <w:t>X&lt;20</w:t>
            </w:r>
          </w:p>
        </w:tc>
      </w:tr>
      <w:tr w14:paraId="2E292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noWrap/>
            <w:vAlign w:val="center"/>
          </w:tcPr>
          <w:p w14:paraId="4CA07ECA">
            <w:pPr>
              <w:spacing w:line="500" w:lineRule="exact"/>
              <w:jc w:val="center"/>
              <w:rPr>
                <w:rFonts w:ascii="仿宋" w:hAnsi="仿宋" w:eastAsia="仿宋"/>
                <w:color w:val="auto"/>
                <w:highlight w:val="none"/>
              </w:rPr>
            </w:pPr>
          </w:p>
        </w:tc>
        <w:tc>
          <w:tcPr>
            <w:tcW w:w="1447" w:type="dxa"/>
            <w:noWrap/>
            <w:vAlign w:val="center"/>
          </w:tcPr>
          <w:p w14:paraId="2444863C">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ign w:val="center"/>
          </w:tcPr>
          <w:p w14:paraId="03C4B712">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ign w:val="center"/>
          </w:tcPr>
          <w:p w14:paraId="08A5CEC4">
            <w:pPr>
              <w:spacing w:line="500" w:lineRule="exact"/>
              <w:jc w:val="center"/>
              <w:rPr>
                <w:rFonts w:eastAsia="仿宋"/>
                <w:color w:val="auto"/>
                <w:highlight w:val="none"/>
              </w:rPr>
            </w:pPr>
            <w:r>
              <w:rPr>
                <w:rFonts w:eastAsia="仿宋"/>
                <w:color w:val="auto"/>
                <w:highlight w:val="none"/>
              </w:rPr>
              <w:t>2000≤Y&lt;40000</w:t>
            </w:r>
          </w:p>
        </w:tc>
        <w:tc>
          <w:tcPr>
            <w:tcW w:w="1572" w:type="dxa"/>
            <w:noWrap/>
            <w:vAlign w:val="center"/>
          </w:tcPr>
          <w:p w14:paraId="7306EB71">
            <w:pPr>
              <w:spacing w:line="500" w:lineRule="exact"/>
              <w:jc w:val="center"/>
              <w:rPr>
                <w:rFonts w:eastAsia="仿宋"/>
                <w:color w:val="auto"/>
                <w:highlight w:val="none"/>
              </w:rPr>
            </w:pPr>
            <w:r>
              <w:rPr>
                <w:rFonts w:eastAsia="仿宋"/>
                <w:color w:val="auto"/>
                <w:highlight w:val="none"/>
              </w:rPr>
              <w:t>300≤Y&lt;2000</w:t>
            </w:r>
          </w:p>
        </w:tc>
        <w:tc>
          <w:tcPr>
            <w:tcW w:w="1036" w:type="dxa"/>
            <w:noWrap/>
            <w:vAlign w:val="center"/>
          </w:tcPr>
          <w:p w14:paraId="565E7198">
            <w:pPr>
              <w:spacing w:line="500" w:lineRule="exact"/>
              <w:jc w:val="center"/>
              <w:rPr>
                <w:rFonts w:eastAsia="仿宋"/>
                <w:color w:val="auto"/>
                <w:highlight w:val="none"/>
              </w:rPr>
            </w:pPr>
            <w:r>
              <w:rPr>
                <w:rFonts w:eastAsia="仿宋"/>
                <w:color w:val="auto"/>
                <w:highlight w:val="none"/>
              </w:rPr>
              <w:t>Y&lt;300</w:t>
            </w:r>
          </w:p>
        </w:tc>
      </w:tr>
      <w:tr w14:paraId="5B7FE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noWrap/>
            <w:vAlign w:val="center"/>
          </w:tcPr>
          <w:p w14:paraId="5A464BD9">
            <w:pPr>
              <w:spacing w:line="500" w:lineRule="exact"/>
              <w:jc w:val="center"/>
              <w:rPr>
                <w:rFonts w:ascii="仿宋" w:hAnsi="仿宋" w:eastAsia="仿宋"/>
                <w:color w:val="auto"/>
                <w:highlight w:val="none"/>
              </w:rPr>
            </w:pPr>
            <w:r>
              <w:rPr>
                <w:rFonts w:ascii="仿宋" w:hAnsi="仿宋" w:eastAsia="仿宋"/>
                <w:color w:val="auto"/>
                <w:highlight w:val="none"/>
              </w:rPr>
              <w:t>建筑业</w:t>
            </w:r>
          </w:p>
        </w:tc>
        <w:tc>
          <w:tcPr>
            <w:tcW w:w="1447" w:type="dxa"/>
            <w:noWrap/>
            <w:vAlign w:val="center"/>
          </w:tcPr>
          <w:p w14:paraId="2A57FD69">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ign w:val="center"/>
          </w:tcPr>
          <w:p w14:paraId="57B2DBF5">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ign w:val="center"/>
          </w:tcPr>
          <w:p w14:paraId="3F945998">
            <w:pPr>
              <w:spacing w:line="500" w:lineRule="exact"/>
              <w:jc w:val="center"/>
              <w:rPr>
                <w:rFonts w:eastAsia="仿宋"/>
                <w:color w:val="auto"/>
                <w:highlight w:val="none"/>
              </w:rPr>
            </w:pPr>
            <w:r>
              <w:rPr>
                <w:rFonts w:eastAsia="仿宋"/>
                <w:color w:val="auto"/>
                <w:highlight w:val="none"/>
              </w:rPr>
              <w:t>6000≤Y&lt;80000</w:t>
            </w:r>
          </w:p>
        </w:tc>
        <w:tc>
          <w:tcPr>
            <w:tcW w:w="1572" w:type="dxa"/>
            <w:noWrap/>
            <w:vAlign w:val="center"/>
          </w:tcPr>
          <w:p w14:paraId="04B6B657">
            <w:pPr>
              <w:spacing w:line="500" w:lineRule="exact"/>
              <w:jc w:val="center"/>
              <w:rPr>
                <w:rFonts w:eastAsia="仿宋"/>
                <w:color w:val="auto"/>
                <w:highlight w:val="none"/>
              </w:rPr>
            </w:pPr>
            <w:r>
              <w:rPr>
                <w:rFonts w:eastAsia="仿宋"/>
                <w:color w:val="auto"/>
                <w:highlight w:val="none"/>
              </w:rPr>
              <w:t>300≤Y&lt;6000</w:t>
            </w:r>
          </w:p>
        </w:tc>
        <w:tc>
          <w:tcPr>
            <w:tcW w:w="1036" w:type="dxa"/>
            <w:noWrap/>
            <w:vAlign w:val="center"/>
          </w:tcPr>
          <w:p w14:paraId="5F786B8B">
            <w:pPr>
              <w:spacing w:line="500" w:lineRule="exact"/>
              <w:jc w:val="center"/>
              <w:rPr>
                <w:rFonts w:eastAsia="仿宋"/>
                <w:color w:val="auto"/>
                <w:highlight w:val="none"/>
              </w:rPr>
            </w:pPr>
            <w:r>
              <w:rPr>
                <w:rFonts w:eastAsia="仿宋"/>
                <w:color w:val="auto"/>
                <w:highlight w:val="none"/>
              </w:rPr>
              <w:t>Y&lt;300</w:t>
            </w:r>
          </w:p>
        </w:tc>
      </w:tr>
      <w:tr w14:paraId="612FD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noWrap/>
            <w:vAlign w:val="center"/>
          </w:tcPr>
          <w:p w14:paraId="092B98E2">
            <w:pPr>
              <w:spacing w:line="500" w:lineRule="exact"/>
              <w:jc w:val="center"/>
              <w:rPr>
                <w:rFonts w:ascii="仿宋" w:hAnsi="仿宋" w:eastAsia="仿宋"/>
                <w:color w:val="auto"/>
                <w:highlight w:val="none"/>
              </w:rPr>
            </w:pPr>
          </w:p>
        </w:tc>
        <w:tc>
          <w:tcPr>
            <w:tcW w:w="1447" w:type="dxa"/>
            <w:noWrap/>
            <w:vAlign w:val="center"/>
          </w:tcPr>
          <w:p w14:paraId="5F5BD872">
            <w:pPr>
              <w:spacing w:line="500" w:lineRule="exact"/>
              <w:jc w:val="center"/>
              <w:rPr>
                <w:rFonts w:ascii="仿宋" w:hAnsi="仿宋" w:eastAsia="仿宋"/>
                <w:color w:val="auto"/>
                <w:highlight w:val="none"/>
              </w:rPr>
            </w:pPr>
            <w:r>
              <w:rPr>
                <w:rFonts w:hint="eastAsia" w:ascii="仿宋" w:hAnsi="仿宋" w:eastAsia="仿宋"/>
                <w:color w:val="auto"/>
                <w:highlight w:val="none"/>
              </w:rPr>
              <w:t>资产</w:t>
            </w:r>
            <w:r>
              <w:rPr>
                <w:rFonts w:ascii="仿宋" w:hAnsi="仿宋" w:eastAsia="仿宋"/>
                <w:color w:val="auto"/>
                <w:highlight w:val="none"/>
              </w:rPr>
              <w:t>总额（</w:t>
            </w:r>
            <w:r>
              <w:rPr>
                <w:rFonts w:hint="eastAsia" w:ascii="仿宋" w:hAnsi="仿宋" w:eastAsia="仿宋"/>
                <w:color w:val="auto"/>
                <w:highlight w:val="none"/>
              </w:rPr>
              <w:t>Z）</w:t>
            </w:r>
          </w:p>
        </w:tc>
        <w:tc>
          <w:tcPr>
            <w:tcW w:w="683" w:type="dxa"/>
            <w:noWrap/>
            <w:vAlign w:val="center"/>
          </w:tcPr>
          <w:p w14:paraId="15A645FE">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ign w:val="center"/>
          </w:tcPr>
          <w:p w14:paraId="7080A0F4">
            <w:pPr>
              <w:spacing w:line="500" w:lineRule="exact"/>
              <w:jc w:val="center"/>
              <w:rPr>
                <w:rFonts w:eastAsia="仿宋"/>
                <w:color w:val="auto"/>
                <w:highlight w:val="none"/>
              </w:rPr>
            </w:pPr>
            <w:r>
              <w:rPr>
                <w:rFonts w:eastAsia="仿宋"/>
                <w:color w:val="auto"/>
                <w:highlight w:val="none"/>
              </w:rPr>
              <w:t>5000≤Z &lt;80000</w:t>
            </w:r>
          </w:p>
        </w:tc>
        <w:tc>
          <w:tcPr>
            <w:tcW w:w="1572" w:type="dxa"/>
            <w:noWrap/>
            <w:vAlign w:val="center"/>
          </w:tcPr>
          <w:p w14:paraId="27CD4413">
            <w:pPr>
              <w:spacing w:line="500" w:lineRule="exact"/>
              <w:jc w:val="center"/>
              <w:rPr>
                <w:rFonts w:eastAsia="仿宋"/>
                <w:color w:val="auto"/>
                <w:highlight w:val="none"/>
              </w:rPr>
            </w:pPr>
            <w:r>
              <w:rPr>
                <w:rFonts w:eastAsia="仿宋"/>
                <w:color w:val="auto"/>
                <w:highlight w:val="none"/>
              </w:rPr>
              <w:t>300≤Z &lt;5000</w:t>
            </w:r>
          </w:p>
        </w:tc>
        <w:tc>
          <w:tcPr>
            <w:tcW w:w="1036" w:type="dxa"/>
            <w:noWrap/>
            <w:vAlign w:val="center"/>
          </w:tcPr>
          <w:p w14:paraId="5A5AD774">
            <w:pPr>
              <w:spacing w:line="500" w:lineRule="exact"/>
              <w:jc w:val="center"/>
              <w:rPr>
                <w:rFonts w:eastAsia="仿宋"/>
                <w:color w:val="auto"/>
                <w:highlight w:val="none"/>
              </w:rPr>
            </w:pPr>
            <w:r>
              <w:rPr>
                <w:rFonts w:eastAsia="仿宋"/>
                <w:color w:val="auto"/>
                <w:highlight w:val="none"/>
              </w:rPr>
              <w:t>Z&lt;300</w:t>
            </w:r>
          </w:p>
        </w:tc>
      </w:tr>
      <w:tr w14:paraId="49FEB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noWrap/>
            <w:vAlign w:val="center"/>
          </w:tcPr>
          <w:p w14:paraId="329A0200">
            <w:pPr>
              <w:spacing w:line="500" w:lineRule="exact"/>
              <w:jc w:val="center"/>
              <w:rPr>
                <w:rFonts w:ascii="仿宋" w:hAnsi="仿宋" w:eastAsia="仿宋"/>
                <w:color w:val="auto"/>
                <w:highlight w:val="none"/>
              </w:rPr>
            </w:pPr>
            <w:r>
              <w:rPr>
                <w:rFonts w:ascii="仿宋" w:hAnsi="仿宋" w:eastAsia="仿宋"/>
                <w:color w:val="auto"/>
                <w:highlight w:val="none"/>
              </w:rPr>
              <w:t>批发业</w:t>
            </w:r>
          </w:p>
        </w:tc>
        <w:tc>
          <w:tcPr>
            <w:tcW w:w="1447" w:type="dxa"/>
            <w:noWrap/>
            <w:vAlign w:val="center"/>
          </w:tcPr>
          <w:p w14:paraId="7C9C8F6A">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ign w:val="center"/>
          </w:tcPr>
          <w:p w14:paraId="4DD70BCE">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ign w:val="center"/>
          </w:tcPr>
          <w:p w14:paraId="3F0AFD74">
            <w:pPr>
              <w:spacing w:line="500" w:lineRule="exact"/>
              <w:jc w:val="center"/>
              <w:rPr>
                <w:rFonts w:eastAsia="仿宋"/>
                <w:color w:val="auto"/>
                <w:highlight w:val="none"/>
              </w:rPr>
            </w:pPr>
            <w:r>
              <w:rPr>
                <w:rFonts w:eastAsia="仿宋"/>
                <w:color w:val="auto"/>
                <w:highlight w:val="none"/>
              </w:rPr>
              <w:t>20≤X&lt;200</w:t>
            </w:r>
          </w:p>
        </w:tc>
        <w:tc>
          <w:tcPr>
            <w:tcW w:w="1572" w:type="dxa"/>
            <w:noWrap/>
            <w:vAlign w:val="center"/>
          </w:tcPr>
          <w:p w14:paraId="373450D6">
            <w:pPr>
              <w:spacing w:line="500" w:lineRule="exact"/>
              <w:jc w:val="center"/>
              <w:rPr>
                <w:rFonts w:eastAsia="仿宋"/>
                <w:color w:val="auto"/>
                <w:highlight w:val="none"/>
              </w:rPr>
            </w:pPr>
            <w:r>
              <w:rPr>
                <w:rFonts w:eastAsia="仿宋"/>
                <w:color w:val="auto"/>
                <w:highlight w:val="none"/>
              </w:rPr>
              <w:t>5≤X&lt;20</w:t>
            </w:r>
          </w:p>
        </w:tc>
        <w:tc>
          <w:tcPr>
            <w:tcW w:w="1036" w:type="dxa"/>
            <w:noWrap/>
            <w:vAlign w:val="center"/>
          </w:tcPr>
          <w:p w14:paraId="4E682271">
            <w:pPr>
              <w:spacing w:line="500" w:lineRule="exact"/>
              <w:jc w:val="center"/>
              <w:rPr>
                <w:rFonts w:eastAsia="仿宋"/>
                <w:color w:val="auto"/>
                <w:highlight w:val="none"/>
              </w:rPr>
            </w:pPr>
            <w:r>
              <w:rPr>
                <w:rFonts w:eastAsia="仿宋"/>
                <w:color w:val="auto"/>
                <w:highlight w:val="none"/>
              </w:rPr>
              <w:t>X&lt;5</w:t>
            </w:r>
          </w:p>
        </w:tc>
      </w:tr>
      <w:tr w14:paraId="2928F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noWrap/>
            <w:vAlign w:val="center"/>
          </w:tcPr>
          <w:p w14:paraId="1FCA5839">
            <w:pPr>
              <w:spacing w:line="500" w:lineRule="exact"/>
              <w:jc w:val="center"/>
              <w:rPr>
                <w:rFonts w:ascii="仿宋" w:hAnsi="仿宋" w:eastAsia="仿宋"/>
                <w:color w:val="auto"/>
                <w:highlight w:val="none"/>
              </w:rPr>
            </w:pPr>
          </w:p>
        </w:tc>
        <w:tc>
          <w:tcPr>
            <w:tcW w:w="1447" w:type="dxa"/>
            <w:noWrap/>
            <w:vAlign w:val="center"/>
          </w:tcPr>
          <w:p w14:paraId="0BBF91A1">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ign w:val="center"/>
          </w:tcPr>
          <w:p w14:paraId="0A6CAA43">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ign w:val="center"/>
          </w:tcPr>
          <w:p w14:paraId="6E796DAA">
            <w:pPr>
              <w:spacing w:line="500" w:lineRule="exact"/>
              <w:jc w:val="center"/>
              <w:rPr>
                <w:rFonts w:eastAsia="仿宋"/>
                <w:color w:val="auto"/>
                <w:highlight w:val="none"/>
              </w:rPr>
            </w:pPr>
            <w:r>
              <w:rPr>
                <w:rFonts w:eastAsia="仿宋"/>
                <w:color w:val="auto"/>
                <w:highlight w:val="none"/>
              </w:rPr>
              <w:t>5000≤Y&lt;50000</w:t>
            </w:r>
          </w:p>
        </w:tc>
        <w:tc>
          <w:tcPr>
            <w:tcW w:w="1572" w:type="dxa"/>
            <w:noWrap/>
            <w:vAlign w:val="center"/>
          </w:tcPr>
          <w:p w14:paraId="028FC6D6">
            <w:pPr>
              <w:spacing w:line="500" w:lineRule="exact"/>
              <w:jc w:val="center"/>
              <w:rPr>
                <w:rFonts w:eastAsia="仿宋"/>
                <w:color w:val="auto"/>
                <w:highlight w:val="none"/>
              </w:rPr>
            </w:pPr>
            <w:r>
              <w:rPr>
                <w:rFonts w:eastAsia="仿宋"/>
                <w:color w:val="auto"/>
                <w:highlight w:val="none"/>
              </w:rPr>
              <w:t>1000≤Y&lt;5000</w:t>
            </w:r>
          </w:p>
        </w:tc>
        <w:tc>
          <w:tcPr>
            <w:tcW w:w="1036" w:type="dxa"/>
            <w:noWrap/>
            <w:vAlign w:val="center"/>
          </w:tcPr>
          <w:p w14:paraId="237FE4A1">
            <w:pPr>
              <w:spacing w:line="500" w:lineRule="exact"/>
              <w:jc w:val="center"/>
              <w:rPr>
                <w:rFonts w:eastAsia="仿宋"/>
                <w:color w:val="auto"/>
                <w:highlight w:val="none"/>
              </w:rPr>
            </w:pPr>
            <w:r>
              <w:rPr>
                <w:rFonts w:eastAsia="仿宋"/>
                <w:color w:val="auto"/>
                <w:highlight w:val="none"/>
              </w:rPr>
              <w:t>Y&lt;1000</w:t>
            </w:r>
          </w:p>
        </w:tc>
      </w:tr>
      <w:tr w14:paraId="1879C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noWrap/>
            <w:vAlign w:val="center"/>
          </w:tcPr>
          <w:p w14:paraId="20CEA825">
            <w:pPr>
              <w:spacing w:line="500" w:lineRule="exact"/>
              <w:jc w:val="center"/>
              <w:rPr>
                <w:rFonts w:ascii="仿宋" w:hAnsi="仿宋" w:eastAsia="仿宋"/>
                <w:color w:val="auto"/>
                <w:highlight w:val="none"/>
              </w:rPr>
            </w:pPr>
            <w:r>
              <w:rPr>
                <w:rFonts w:hint="eastAsia" w:ascii="仿宋" w:hAnsi="仿宋" w:eastAsia="仿宋"/>
                <w:color w:val="auto"/>
                <w:highlight w:val="none"/>
              </w:rPr>
              <w:t>零售业</w:t>
            </w:r>
          </w:p>
        </w:tc>
        <w:tc>
          <w:tcPr>
            <w:tcW w:w="1447" w:type="dxa"/>
            <w:noWrap/>
            <w:vAlign w:val="center"/>
          </w:tcPr>
          <w:p w14:paraId="046CF0E5">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ign w:val="center"/>
          </w:tcPr>
          <w:p w14:paraId="7C0E4293">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ign w:val="center"/>
          </w:tcPr>
          <w:p w14:paraId="79A90ABA">
            <w:pPr>
              <w:spacing w:line="500" w:lineRule="exact"/>
              <w:jc w:val="center"/>
              <w:rPr>
                <w:rFonts w:eastAsia="仿宋"/>
                <w:color w:val="auto"/>
                <w:highlight w:val="none"/>
              </w:rPr>
            </w:pPr>
            <w:r>
              <w:rPr>
                <w:rFonts w:eastAsia="仿宋"/>
                <w:color w:val="auto"/>
                <w:highlight w:val="none"/>
              </w:rPr>
              <w:t>50≤X&lt;300</w:t>
            </w:r>
          </w:p>
        </w:tc>
        <w:tc>
          <w:tcPr>
            <w:tcW w:w="1572" w:type="dxa"/>
            <w:noWrap/>
            <w:vAlign w:val="center"/>
          </w:tcPr>
          <w:p w14:paraId="78B951FB">
            <w:pPr>
              <w:spacing w:line="500" w:lineRule="exact"/>
              <w:jc w:val="center"/>
              <w:rPr>
                <w:rFonts w:eastAsia="仿宋"/>
                <w:color w:val="auto"/>
                <w:highlight w:val="none"/>
              </w:rPr>
            </w:pPr>
            <w:r>
              <w:rPr>
                <w:rFonts w:eastAsia="仿宋"/>
                <w:color w:val="auto"/>
                <w:highlight w:val="none"/>
              </w:rPr>
              <w:t>10≤X&lt;50</w:t>
            </w:r>
          </w:p>
        </w:tc>
        <w:tc>
          <w:tcPr>
            <w:tcW w:w="1036" w:type="dxa"/>
            <w:noWrap/>
            <w:vAlign w:val="center"/>
          </w:tcPr>
          <w:p w14:paraId="576A5AFF">
            <w:pPr>
              <w:spacing w:line="500" w:lineRule="exact"/>
              <w:jc w:val="center"/>
              <w:rPr>
                <w:rFonts w:eastAsia="仿宋"/>
                <w:color w:val="auto"/>
                <w:highlight w:val="none"/>
              </w:rPr>
            </w:pPr>
            <w:r>
              <w:rPr>
                <w:rFonts w:eastAsia="仿宋"/>
                <w:color w:val="auto"/>
                <w:highlight w:val="none"/>
              </w:rPr>
              <w:t>X&lt;10</w:t>
            </w:r>
          </w:p>
        </w:tc>
      </w:tr>
      <w:tr w14:paraId="04306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noWrap/>
            <w:vAlign w:val="center"/>
          </w:tcPr>
          <w:p w14:paraId="5EFC5C36">
            <w:pPr>
              <w:spacing w:line="500" w:lineRule="exact"/>
              <w:jc w:val="center"/>
              <w:rPr>
                <w:rFonts w:ascii="仿宋" w:hAnsi="仿宋" w:eastAsia="仿宋"/>
                <w:color w:val="auto"/>
                <w:highlight w:val="none"/>
              </w:rPr>
            </w:pPr>
          </w:p>
        </w:tc>
        <w:tc>
          <w:tcPr>
            <w:tcW w:w="1447" w:type="dxa"/>
            <w:noWrap/>
            <w:vAlign w:val="center"/>
          </w:tcPr>
          <w:p w14:paraId="36A65FD2">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ign w:val="center"/>
          </w:tcPr>
          <w:p w14:paraId="5C507F49">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ign w:val="center"/>
          </w:tcPr>
          <w:p w14:paraId="79956738">
            <w:pPr>
              <w:spacing w:line="500" w:lineRule="exact"/>
              <w:jc w:val="center"/>
              <w:rPr>
                <w:rFonts w:eastAsia="仿宋"/>
                <w:color w:val="auto"/>
                <w:highlight w:val="none"/>
              </w:rPr>
            </w:pPr>
            <w:r>
              <w:rPr>
                <w:rFonts w:eastAsia="仿宋"/>
                <w:color w:val="auto"/>
                <w:highlight w:val="none"/>
              </w:rPr>
              <w:t>500≤Y&lt;20000</w:t>
            </w:r>
          </w:p>
        </w:tc>
        <w:tc>
          <w:tcPr>
            <w:tcW w:w="1572" w:type="dxa"/>
            <w:noWrap/>
            <w:vAlign w:val="center"/>
          </w:tcPr>
          <w:p w14:paraId="5EA9418E">
            <w:pPr>
              <w:spacing w:line="500" w:lineRule="exact"/>
              <w:jc w:val="center"/>
              <w:rPr>
                <w:rFonts w:eastAsia="仿宋"/>
                <w:color w:val="auto"/>
                <w:highlight w:val="none"/>
              </w:rPr>
            </w:pPr>
            <w:r>
              <w:rPr>
                <w:rFonts w:eastAsia="仿宋"/>
                <w:color w:val="auto"/>
                <w:highlight w:val="none"/>
              </w:rPr>
              <w:t>100≤Y&lt;500</w:t>
            </w:r>
          </w:p>
        </w:tc>
        <w:tc>
          <w:tcPr>
            <w:tcW w:w="1036" w:type="dxa"/>
            <w:noWrap/>
            <w:vAlign w:val="center"/>
          </w:tcPr>
          <w:p w14:paraId="16793D53">
            <w:pPr>
              <w:spacing w:line="500" w:lineRule="exact"/>
              <w:jc w:val="center"/>
              <w:rPr>
                <w:rFonts w:eastAsia="仿宋"/>
                <w:color w:val="auto"/>
                <w:highlight w:val="none"/>
              </w:rPr>
            </w:pPr>
            <w:r>
              <w:rPr>
                <w:rFonts w:eastAsia="仿宋"/>
                <w:color w:val="auto"/>
                <w:highlight w:val="none"/>
              </w:rPr>
              <w:t>Y&lt;100</w:t>
            </w:r>
          </w:p>
        </w:tc>
      </w:tr>
      <w:tr w14:paraId="26552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noWrap/>
            <w:vAlign w:val="center"/>
          </w:tcPr>
          <w:p w14:paraId="3F07ECAC">
            <w:pPr>
              <w:spacing w:line="500" w:lineRule="exact"/>
              <w:jc w:val="center"/>
              <w:rPr>
                <w:rFonts w:ascii="仿宋" w:hAnsi="仿宋" w:eastAsia="仿宋"/>
                <w:color w:val="auto"/>
                <w:highlight w:val="none"/>
              </w:rPr>
            </w:pPr>
            <w:r>
              <w:rPr>
                <w:rFonts w:hint="eastAsia" w:ascii="仿宋" w:hAnsi="仿宋" w:eastAsia="仿宋"/>
                <w:color w:val="auto"/>
                <w:highlight w:val="none"/>
              </w:rPr>
              <w:t>交通</w:t>
            </w:r>
            <w:r>
              <w:rPr>
                <w:rFonts w:ascii="仿宋" w:hAnsi="仿宋" w:eastAsia="仿宋"/>
                <w:color w:val="auto"/>
                <w:highlight w:val="none"/>
              </w:rPr>
              <w:t>运输业</w:t>
            </w:r>
          </w:p>
        </w:tc>
        <w:tc>
          <w:tcPr>
            <w:tcW w:w="1447" w:type="dxa"/>
            <w:noWrap/>
            <w:vAlign w:val="center"/>
          </w:tcPr>
          <w:p w14:paraId="2E73F4E2">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ign w:val="center"/>
          </w:tcPr>
          <w:p w14:paraId="66E36E15">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ign w:val="center"/>
          </w:tcPr>
          <w:p w14:paraId="76019235">
            <w:pPr>
              <w:spacing w:line="500" w:lineRule="exact"/>
              <w:jc w:val="center"/>
              <w:rPr>
                <w:rFonts w:eastAsia="仿宋"/>
                <w:color w:val="auto"/>
                <w:highlight w:val="none"/>
              </w:rPr>
            </w:pPr>
            <w:r>
              <w:rPr>
                <w:rFonts w:eastAsia="仿宋"/>
                <w:color w:val="auto"/>
                <w:highlight w:val="none"/>
              </w:rPr>
              <w:t>300≤X&lt;1000</w:t>
            </w:r>
          </w:p>
        </w:tc>
        <w:tc>
          <w:tcPr>
            <w:tcW w:w="1572" w:type="dxa"/>
            <w:noWrap/>
            <w:vAlign w:val="center"/>
          </w:tcPr>
          <w:p w14:paraId="600F458E">
            <w:pPr>
              <w:spacing w:line="500" w:lineRule="exact"/>
              <w:jc w:val="center"/>
              <w:rPr>
                <w:rFonts w:eastAsia="仿宋"/>
                <w:color w:val="auto"/>
                <w:highlight w:val="none"/>
              </w:rPr>
            </w:pPr>
            <w:r>
              <w:rPr>
                <w:rFonts w:eastAsia="仿宋"/>
                <w:color w:val="auto"/>
                <w:highlight w:val="none"/>
              </w:rPr>
              <w:t>20≤X&lt;300</w:t>
            </w:r>
          </w:p>
        </w:tc>
        <w:tc>
          <w:tcPr>
            <w:tcW w:w="1036" w:type="dxa"/>
            <w:noWrap/>
            <w:vAlign w:val="center"/>
          </w:tcPr>
          <w:p w14:paraId="05FD664D">
            <w:pPr>
              <w:spacing w:line="500" w:lineRule="exact"/>
              <w:jc w:val="center"/>
              <w:rPr>
                <w:rFonts w:eastAsia="仿宋"/>
                <w:color w:val="auto"/>
                <w:highlight w:val="none"/>
              </w:rPr>
            </w:pPr>
            <w:r>
              <w:rPr>
                <w:rFonts w:eastAsia="仿宋"/>
                <w:color w:val="auto"/>
                <w:highlight w:val="none"/>
              </w:rPr>
              <w:t>X&lt;20</w:t>
            </w:r>
          </w:p>
        </w:tc>
      </w:tr>
      <w:tr w14:paraId="7034D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noWrap/>
            <w:vAlign w:val="center"/>
          </w:tcPr>
          <w:p w14:paraId="51B087A0">
            <w:pPr>
              <w:spacing w:line="500" w:lineRule="exact"/>
              <w:jc w:val="center"/>
              <w:rPr>
                <w:rFonts w:ascii="仿宋" w:hAnsi="仿宋" w:eastAsia="仿宋"/>
                <w:color w:val="auto"/>
                <w:highlight w:val="none"/>
              </w:rPr>
            </w:pPr>
          </w:p>
        </w:tc>
        <w:tc>
          <w:tcPr>
            <w:tcW w:w="1447" w:type="dxa"/>
            <w:noWrap/>
            <w:vAlign w:val="center"/>
          </w:tcPr>
          <w:p w14:paraId="3AD684A6">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ign w:val="center"/>
          </w:tcPr>
          <w:p w14:paraId="51129915">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ign w:val="center"/>
          </w:tcPr>
          <w:p w14:paraId="3759C8DE">
            <w:pPr>
              <w:spacing w:line="500" w:lineRule="exact"/>
              <w:jc w:val="center"/>
              <w:rPr>
                <w:rFonts w:eastAsia="仿宋"/>
                <w:color w:val="auto"/>
                <w:highlight w:val="none"/>
              </w:rPr>
            </w:pPr>
            <w:r>
              <w:rPr>
                <w:rFonts w:eastAsia="仿宋"/>
                <w:color w:val="auto"/>
                <w:highlight w:val="none"/>
              </w:rPr>
              <w:t>3000≤Y&lt;30000</w:t>
            </w:r>
          </w:p>
        </w:tc>
        <w:tc>
          <w:tcPr>
            <w:tcW w:w="1572" w:type="dxa"/>
            <w:noWrap/>
            <w:vAlign w:val="center"/>
          </w:tcPr>
          <w:p w14:paraId="397FF032">
            <w:pPr>
              <w:spacing w:line="500" w:lineRule="exact"/>
              <w:jc w:val="center"/>
              <w:rPr>
                <w:rFonts w:eastAsia="仿宋"/>
                <w:color w:val="auto"/>
                <w:highlight w:val="none"/>
              </w:rPr>
            </w:pPr>
            <w:r>
              <w:rPr>
                <w:rFonts w:eastAsia="仿宋"/>
                <w:color w:val="auto"/>
                <w:highlight w:val="none"/>
              </w:rPr>
              <w:t>200≤Y&lt;3000</w:t>
            </w:r>
          </w:p>
        </w:tc>
        <w:tc>
          <w:tcPr>
            <w:tcW w:w="1036" w:type="dxa"/>
            <w:noWrap/>
            <w:vAlign w:val="center"/>
          </w:tcPr>
          <w:p w14:paraId="6959C199">
            <w:pPr>
              <w:spacing w:line="500" w:lineRule="exact"/>
              <w:jc w:val="center"/>
              <w:rPr>
                <w:rFonts w:eastAsia="仿宋"/>
                <w:color w:val="auto"/>
                <w:highlight w:val="none"/>
              </w:rPr>
            </w:pPr>
            <w:r>
              <w:rPr>
                <w:rFonts w:eastAsia="仿宋"/>
                <w:color w:val="auto"/>
                <w:highlight w:val="none"/>
              </w:rPr>
              <w:t>Y&lt;200</w:t>
            </w:r>
          </w:p>
        </w:tc>
      </w:tr>
      <w:tr w14:paraId="04B77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noWrap/>
            <w:vAlign w:val="center"/>
          </w:tcPr>
          <w:p w14:paraId="27EA28A7">
            <w:pPr>
              <w:spacing w:line="500" w:lineRule="exact"/>
              <w:jc w:val="center"/>
              <w:rPr>
                <w:rFonts w:ascii="仿宋" w:hAnsi="仿宋" w:eastAsia="仿宋"/>
                <w:color w:val="auto"/>
                <w:highlight w:val="none"/>
              </w:rPr>
            </w:pPr>
            <w:r>
              <w:rPr>
                <w:rFonts w:hint="eastAsia" w:ascii="仿宋" w:hAnsi="仿宋" w:eastAsia="仿宋"/>
                <w:color w:val="auto"/>
                <w:highlight w:val="none"/>
              </w:rPr>
              <w:t>仓储</w:t>
            </w:r>
            <w:r>
              <w:rPr>
                <w:rFonts w:ascii="仿宋" w:hAnsi="仿宋" w:eastAsia="仿宋"/>
                <w:color w:val="auto"/>
                <w:highlight w:val="none"/>
              </w:rPr>
              <w:t>业</w:t>
            </w:r>
          </w:p>
        </w:tc>
        <w:tc>
          <w:tcPr>
            <w:tcW w:w="1447" w:type="dxa"/>
            <w:noWrap/>
            <w:vAlign w:val="center"/>
          </w:tcPr>
          <w:p w14:paraId="09FCB9F2">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ign w:val="center"/>
          </w:tcPr>
          <w:p w14:paraId="7669508D">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ign w:val="center"/>
          </w:tcPr>
          <w:p w14:paraId="784D54EE">
            <w:pPr>
              <w:spacing w:line="500" w:lineRule="exact"/>
              <w:jc w:val="center"/>
              <w:rPr>
                <w:rFonts w:eastAsia="仿宋"/>
                <w:color w:val="auto"/>
                <w:highlight w:val="none"/>
              </w:rPr>
            </w:pPr>
            <w:r>
              <w:rPr>
                <w:rFonts w:eastAsia="仿宋"/>
                <w:color w:val="auto"/>
                <w:highlight w:val="none"/>
              </w:rPr>
              <w:t>100≤X&lt;200</w:t>
            </w:r>
          </w:p>
        </w:tc>
        <w:tc>
          <w:tcPr>
            <w:tcW w:w="1572" w:type="dxa"/>
            <w:noWrap/>
            <w:vAlign w:val="center"/>
          </w:tcPr>
          <w:p w14:paraId="58F8473D">
            <w:pPr>
              <w:spacing w:line="500" w:lineRule="exact"/>
              <w:jc w:val="center"/>
              <w:rPr>
                <w:rFonts w:eastAsia="仿宋"/>
                <w:color w:val="auto"/>
                <w:highlight w:val="none"/>
              </w:rPr>
            </w:pPr>
            <w:r>
              <w:rPr>
                <w:rFonts w:eastAsia="仿宋"/>
                <w:color w:val="auto"/>
                <w:highlight w:val="none"/>
              </w:rPr>
              <w:t>20≤X&lt;100</w:t>
            </w:r>
          </w:p>
        </w:tc>
        <w:tc>
          <w:tcPr>
            <w:tcW w:w="1036" w:type="dxa"/>
            <w:noWrap/>
            <w:vAlign w:val="center"/>
          </w:tcPr>
          <w:p w14:paraId="1ACC1D3A">
            <w:pPr>
              <w:spacing w:line="500" w:lineRule="exact"/>
              <w:jc w:val="center"/>
              <w:rPr>
                <w:rFonts w:eastAsia="仿宋"/>
                <w:color w:val="auto"/>
                <w:highlight w:val="none"/>
              </w:rPr>
            </w:pPr>
            <w:r>
              <w:rPr>
                <w:rFonts w:eastAsia="仿宋"/>
                <w:color w:val="auto"/>
                <w:highlight w:val="none"/>
              </w:rPr>
              <w:t>X&lt;20</w:t>
            </w:r>
          </w:p>
        </w:tc>
      </w:tr>
      <w:tr w14:paraId="70E8A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noWrap/>
            <w:vAlign w:val="center"/>
          </w:tcPr>
          <w:p w14:paraId="1BA117E4">
            <w:pPr>
              <w:spacing w:line="500" w:lineRule="exact"/>
              <w:jc w:val="center"/>
              <w:rPr>
                <w:rFonts w:ascii="仿宋" w:hAnsi="仿宋" w:eastAsia="仿宋"/>
                <w:color w:val="auto"/>
                <w:highlight w:val="none"/>
              </w:rPr>
            </w:pPr>
          </w:p>
        </w:tc>
        <w:tc>
          <w:tcPr>
            <w:tcW w:w="1447" w:type="dxa"/>
            <w:noWrap/>
            <w:vAlign w:val="center"/>
          </w:tcPr>
          <w:p w14:paraId="535A4179">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ign w:val="center"/>
          </w:tcPr>
          <w:p w14:paraId="320A34C9">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ign w:val="center"/>
          </w:tcPr>
          <w:p w14:paraId="2213AFE7">
            <w:pPr>
              <w:spacing w:line="500" w:lineRule="exact"/>
              <w:jc w:val="center"/>
              <w:rPr>
                <w:rFonts w:eastAsia="仿宋"/>
                <w:color w:val="auto"/>
                <w:highlight w:val="none"/>
              </w:rPr>
            </w:pPr>
            <w:r>
              <w:rPr>
                <w:rFonts w:eastAsia="仿宋"/>
                <w:color w:val="auto"/>
                <w:highlight w:val="none"/>
              </w:rPr>
              <w:t>1000≤Y&lt;30000</w:t>
            </w:r>
          </w:p>
        </w:tc>
        <w:tc>
          <w:tcPr>
            <w:tcW w:w="1572" w:type="dxa"/>
            <w:noWrap/>
            <w:vAlign w:val="center"/>
          </w:tcPr>
          <w:p w14:paraId="4A80EF0C">
            <w:pPr>
              <w:spacing w:line="500" w:lineRule="exact"/>
              <w:jc w:val="center"/>
              <w:rPr>
                <w:rFonts w:eastAsia="仿宋"/>
                <w:color w:val="auto"/>
                <w:highlight w:val="none"/>
              </w:rPr>
            </w:pPr>
            <w:r>
              <w:rPr>
                <w:rFonts w:eastAsia="仿宋"/>
                <w:color w:val="auto"/>
                <w:highlight w:val="none"/>
              </w:rPr>
              <w:t>100≤Y&lt;1000</w:t>
            </w:r>
          </w:p>
        </w:tc>
        <w:tc>
          <w:tcPr>
            <w:tcW w:w="1036" w:type="dxa"/>
            <w:noWrap/>
            <w:vAlign w:val="center"/>
          </w:tcPr>
          <w:p w14:paraId="7A76A2AF">
            <w:pPr>
              <w:spacing w:line="500" w:lineRule="exact"/>
              <w:jc w:val="center"/>
              <w:rPr>
                <w:rFonts w:eastAsia="仿宋"/>
                <w:color w:val="auto"/>
                <w:highlight w:val="none"/>
              </w:rPr>
            </w:pPr>
            <w:r>
              <w:rPr>
                <w:rFonts w:eastAsia="仿宋"/>
                <w:color w:val="auto"/>
                <w:highlight w:val="none"/>
              </w:rPr>
              <w:t>Y&lt;100</w:t>
            </w:r>
          </w:p>
        </w:tc>
      </w:tr>
      <w:tr w14:paraId="1BC5F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noWrap/>
            <w:vAlign w:val="center"/>
          </w:tcPr>
          <w:p w14:paraId="708B7F72">
            <w:pPr>
              <w:spacing w:line="500" w:lineRule="exact"/>
              <w:jc w:val="center"/>
              <w:rPr>
                <w:rFonts w:ascii="仿宋" w:hAnsi="仿宋" w:eastAsia="仿宋"/>
                <w:color w:val="auto"/>
                <w:highlight w:val="none"/>
              </w:rPr>
            </w:pPr>
            <w:r>
              <w:rPr>
                <w:rFonts w:hint="eastAsia" w:ascii="仿宋" w:hAnsi="仿宋" w:eastAsia="仿宋"/>
                <w:color w:val="auto"/>
                <w:highlight w:val="none"/>
              </w:rPr>
              <w:t>邮</w:t>
            </w:r>
            <w:r>
              <w:rPr>
                <w:rFonts w:ascii="仿宋" w:hAnsi="仿宋" w:eastAsia="仿宋"/>
                <w:color w:val="auto"/>
                <w:highlight w:val="none"/>
              </w:rPr>
              <w:t>政业</w:t>
            </w:r>
          </w:p>
        </w:tc>
        <w:tc>
          <w:tcPr>
            <w:tcW w:w="1447" w:type="dxa"/>
            <w:noWrap/>
            <w:vAlign w:val="center"/>
          </w:tcPr>
          <w:p w14:paraId="74F8CBF3">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ign w:val="center"/>
          </w:tcPr>
          <w:p w14:paraId="0B1C5008">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ign w:val="center"/>
          </w:tcPr>
          <w:p w14:paraId="2FD1C389">
            <w:pPr>
              <w:spacing w:line="500" w:lineRule="exact"/>
              <w:jc w:val="center"/>
              <w:rPr>
                <w:rFonts w:eastAsia="仿宋"/>
                <w:color w:val="auto"/>
                <w:highlight w:val="none"/>
              </w:rPr>
            </w:pPr>
            <w:r>
              <w:rPr>
                <w:rFonts w:eastAsia="仿宋"/>
                <w:color w:val="auto"/>
                <w:highlight w:val="none"/>
              </w:rPr>
              <w:t>300≤X&lt;1000</w:t>
            </w:r>
          </w:p>
        </w:tc>
        <w:tc>
          <w:tcPr>
            <w:tcW w:w="1572" w:type="dxa"/>
            <w:noWrap/>
            <w:vAlign w:val="center"/>
          </w:tcPr>
          <w:p w14:paraId="076C37D9">
            <w:pPr>
              <w:spacing w:line="500" w:lineRule="exact"/>
              <w:jc w:val="center"/>
              <w:rPr>
                <w:rFonts w:eastAsia="仿宋"/>
                <w:color w:val="auto"/>
                <w:highlight w:val="none"/>
              </w:rPr>
            </w:pPr>
            <w:r>
              <w:rPr>
                <w:rFonts w:eastAsia="仿宋"/>
                <w:color w:val="auto"/>
                <w:highlight w:val="none"/>
              </w:rPr>
              <w:t>20≤X&lt;300</w:t>
            </w:r>
          </w:p>
        </w:tc>
        <w:tc>
          <w:tcPr>
            <w:tcW w:w="1036" w:type="dxa"/>
            <w:noWrap/>
            <w:vAlign w:val="center"/>
          </w:tcPr>
          <w:p w14:paraId="0F20DDFC">
            <w:pPr>
              <w:spacing w:line="500" w:lineRule="exact"/>
              <w:jc w:val="center"/>
              <w:rPr>
                <w:rFonts w:eastAsia="仿宋"/>
                <w:color w:val="auto"/>
                <w:highlight w:val="none"/>
              </w:rPr>
            </w:pPr>
            <w:r>
              <w:rPr>
                <w:rFonts w:eastAsia="仿宋"/>
                <w:color w:val="auto"/>
                <w:highlight w:val="none"/>
              </w:rPr>
              <w:t>X&lt;20</w:t>
            </w:r>
          </w:p>
        </w:tc>
      </w:tr>
      <w:tr w14:paraId="3ACCE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noWrap/>
            <w:vAlign w:val="center"/>
          </w:tcPr>
          <w:p w14:paraId="02093567">
            <w:pPr>
              <w:spacing w:line="500" w:lineRule="exact"/>
              <w:jc w:val="center"/>
              <w:rPr>
                <w:rFonts w:ascii="仿宋" w:hAnsi="仿宋" w:eastAsia="仿宋"/>
                <w:color w:val="auto"/>
                <w:highlight w:val="none"/>
              </w:rPr>
            </w:pPr>
          </w:p>
        </w:tc>
        <w:tc>
          <w:tcPr>
            <w:tcW w:w="1447" w:type="dxa"/>
            <w:noWrap/>
            <w:vAlign w:val="center"/>
          </w:tcPr>
          <w:p w14:paraId="3078D247">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ign w:val="center"/>
          </w:tcPr>
          <w:p w14:paraId="21A75928">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ign w:val="center"/>
          </w:tcPr>
          <w:p w14:paraId="32B43D89">
            <w:pPr>
              <w:spacing w:line="500" w:lineRule="exact"/>
              <w:jc w:val="center"/>
              <w:rPr>
                <w:rFonts w:eastAsia="仿宋"/>
                <w:color w:val="auto"/>
                <w:highlight w:val="none"/>
              </w:rPr>
            </w:pPr>
            <w:r>
              <w:rPr>
                <w:rFonts w:eastAsia="仿宋"/>
                <w:color w:val="auto"/>
                <w:highlight w:val="none"/>
              </w:rPr>
              <w:t>2000≤Y&lt;30000</w:t>
            </w:r>
          </w:p>
        </w:tc>
        <w:tc>
          <w:tcPr>
            <w:tcW w:w="1572" w:type="dxa"/>
            <w:noWrap/>
            <w:vAlign w:val="center"/>
          </w:tcPr>
          <w:p w14:paraId="77AF678D">
            <w:pPr>
              <w:spacing w:line="500" w:lineRule="exact"/>
              <w:jc w:val="center"/>
              <w:rPr>
                <w:rFonts w:eastAsia="仿宋"/>
                <w:color w:val="auto"/>
                <w:highlight w:val="none"/>
              </w:rPr>
            </w:pPr>
            <w:r>
              <w:rPr>
                <w:rFonts w:eastAsia="仿宋"/>
                <w:color w:val="auto"/>
                <w:highlight w:val="none"/>
              </w:rPr>
              <w:t>100≤Y&lt;2000</w:t>
            </w:r>
          </w:p>
        </w:tc>
        <w:tc>
          <w:tcPr>
            <w:tcW w:w="1036" w:type="dxa"/>
            <w:noWrap/>
            <w:vAlign w:val="center"/>
          </w:tcPr>
          <w:p w14:paraId="360404F0">
            <w:pPr>
              <w:spacing w:line="500" w:lineRule="exact"/>
              <w:jc w:val="center"/>
              <w:rPr>
                <w:rFonts w:eastAsia="仿宋"/>
                <w:color w:val="auto"/>
                <w:highlight w:val="none"/>
              </w:rPr>
            </w:pPr>
            <w:r>
              <w:rPr>
                <w:rFonts w:eastAsia="仿宋"/>
                <w:color w:val="auto"/>
                <w:highlight w:val="none"/>
              </w:rPr>
              <w:t>Y&lt;100</w:t>
            </w:r>
          </w:p>
        </w:tc>
      </w:tr>
      <w:tr w14:paraId="4DDFA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noWrap/>
            <w:vAlign w:val="center"/>
          </w:tcPr>
          <w:p w14:paraId="0C927442">
            <w:pPr>
              <w:spacing w:line="500" w:lineRule="exact"/>
              <w:jc w:val="center"/>
              <w:rPr>
                <w:rFonts w:ascii="仿宋" w:hAnsi="仿宋" w:eastAsia="仿宋"/>
                <w:color w:val="auto"/>
                <w:highlight w:val="none"/>
              </w:rPr>
            </w:pPr>
            <w:r>
              <w:rPr>
                <w:rFonts w:hint="eastAsia" w:ascii="仿宋" w:hAnsi="仿宋" w:eastAsia="仿宋"/>
                <w:color w:val="auto"/>
                <w:highlight w:val="none"/>
              </w:rPr>
              <w:t>住</w:t>
            </w:r>
            <w:r>
              <w:rPr>
                <w:rFonts w:ascii="仿宋" w:hAnsi="仿宋" w:eastAsia="仿宋"/>
                <w:color w:val="auto"/>
                <w:highlight w:val="none"/>
              </w:rPr>
              <w:t>宿业</w:t>
            </w:r>
          </w:p>
        </w:tc>
        <w:tc>
          <w:tcPr>
            <w:tcW w:w="1447" w:type="dxa"/>
            <w:noWrap/>
            <w:vAlign w:val="center"/>
          </w:tcPr>
          <w:p w14:paraId="070B43B7">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ign w:val="center"/>
          </w:tcPr>
          <w:p w14:paraId="15D28941">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ign w:val="center"/>
          </w:tcPr>
          <w:p w14:paraId="06FCD41D">
            <w:pPr>
              <w:spacing w:line="500" w:lineRule="exact"/>
              <w:jc w:val="center"/>
              <w:rPr>
                <w:rFonts w:eastAsia="仿宋"/>
                <w:color w:val="auto"/>
                <w:highlight w:val="none"/>
              </w:rPr>
            </w:pPr>
            <w:r>
              <w:rPr>
                <w:rFonts w:eastAsia="仿宋"/>
                <w:color w:val="auto"/>
                <w:highlight w:val="none"/>
              </w:rPr>
              <w:t>100≤X&lt;300</w:t>
            </w:r>
          </w:p>
        </w:tc>
        <w:tc>
          <w:tcPr>
            <w:tcW w:w="1572" w:type="dxa"/>
            <w:noWrap/>
            <w:vAlign w:val="center"/>
          </w:tcPr>
          <w:p w14:paraId="05916E62">
            <w:pPr>
              <w:spacing w:line="500" w:lineRule="exact"/>
              <w:jc w:val="center"/>
              <w:rPr>
                <w:rFonts w:eastAsia="仿宋"/>
                <w:color w:val="auto"/>
                <w:highlight w:val="none"/>
              </w:rPr>
            </w:pPr>
            <w:r>
              <w:rPr>
                <w:rFonts w:eastAsia="仿宋"/>
                <w:color w:val="auto"/>
                <w:highlight w:val="none"/>
              </w:rPr>
              <w:t>10≤X&lt;100</w:t>
            </w:r>
          </w:p>
        </w:tc>
        <w:tc>
          <w:tcPr>
            <w:tcW w:w="1036" w:type="dxa"/>
            <w:noWrap/>
            <w:vAlign w:val="center"/>
          </w:tcPr>
          <w:p w14:paraId="75565D2B">
            <w:pPr>
              <w:spacing w:line="500" w:lineRule="exact"/>
              <w:jc w:val="center"/>
              <w:rPr>
                <w:rFonts w:eastAsia="仿宋"/>
                <w:color w:val="auto"/>
                <w:highlight w:val="none"/>
              </w:rPr>
            </w:pPr>
            <w:r>
              <w:rPr>
                <w:rFonts w:eastAsia="仿宋"/>
                <w:color w:val="auto"/>
                <w:highlight w:val="none"/>
              </w:rPr>
              <w:t>X&lt;10</w:t>
            </w:r>
          </w:p>
        </w:tc>
      </w:tr>
      <w:tr w14:paraId="25C5A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noWrap/>
            <w:vAlign w:val="center"/>
          </w:tcPr>
          <w:p w14:paraId="5D435992">
            <w:pPr>
              <w:spacing w:line="500" w:lineRule="exact"/>
              <w:jc w:val="center"/>
              <w:rPr>
                <w:rFonts w:ascii="仿宋" w:hAnsi="仿宋" w:eastAsia="仿宋"/>
                <w:color w:val="auto"/>
                <w:highlight w:val="none"/>
              </w:rPr>
            </w:pPr>
          </w:p>
        </w:tc>
        <w:tc>
          <w:tcPr>
            <w:tcW w:w="1447" w:type="dxa"/>
            <w:noWrap/>
            <w:vAlign w:val="center"/>
          </w:tcPr>
          <w:p w14:paraId="71E94867">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ign w:val="center"/>
          </w:tcPr>
          <w:p w14:paraId="5391CFAA">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ign w:val="center"/>
          </w:tcPr>
          <w:p w14:paraId="4E131C73">
            <w:pPr>
              <w:spacing w:line="500" w:lineRule="exact"/>
              <w:jc w:val="center"/>
              <w:rPr>
                <w:rFonts w:eastAsia="仿宋"/>
                <w:color w:val="auto"/>
                <w:highlight w:val="none"/>
              </w:rPr>
            </w:pPr>
            <w:r>
              <w:rPr>
                <w:rFonts w:eastAsia="仿宋"/>
                <w:color w:val="auto"/>
                <w:highlight w:val="none"/>
              </w:rPr>
              <w:t>2000≤Y&lt;10000</w:t>
            </w:r>
          </w:p>
        </w:tc>
        <w:tc>
          <w:tcPr>
            <w:tcW w:w="1572" w:type="dxa"/>
            <w:noWrap/>
            <w:vAlign w:val="center"/>
          </w:tcPr>
          <w:p w14:paraId="450BD72A">
            <w:pPr>
              <w:spacing w:line="500" w:lineRule="exact"/>
              <w:jc w:val="center"/>
              <w:rPr>
                <w:rFonts w:eastAsia="仿宋"/>
                <w:color w:val="auto"/>
                <w:highlight w:val="none"/>
              </w:rPr>
            </w:pPr>
            <w:r>
              <w:rPr>
                <w:rFonts w:eastAsia="仿宋"/>
                <w:color w:val="auto"/>
                <w:highlight w:val="none"/>
              </w:rPr>
              <w:t>100≤Y&lt;2000</w:t>
            </w:r>
          </w:p>
        </w:tc>
        <w:tc>
          <w:tcPr>
            <w:tcW w:w="1036" w:type="dxa"/>
            <w:noWrap/>
            <w:vAlign w:val="center"/>
          </w:tcPr>
          <w:p w14:paraId="3B702144">
            <w:pPr>
              <w:spacing w:line="500" w:lineRule="exact"/>
              <w:jc w:val="center"/>
              <w:rPr>
                <w:rFonts w:eastAsia="仿宋"/>
                <w:color w:val="auto"/>
                <w:highlight w:val="none"/>
              </w:rPr>
            </w:pPr>
            <w:r>
              <w:rPr>
                <w:rFonts w:eastAsia="仿宋"/>
                <w:color w:val="auto"/>
                <w:highlight w:val="none"/>
              </w:rPr>
              <w:t>Y&lt;100</w:t>
            </w:r>
          </w:p>
        </w:tc>
      </w:tr>
      <w:tr w14:paraId="6B6E2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noWrap/>
            <w:vAlign w:val="center"/>
          </w:tcPr>
          <w:p w14:paraId="63513E22">
            <w:pPr>
              <w:spacing w:line="500" w:lineRule="exact"/>
              <w:jc w:val="center"/>
              <w:rPr>
                <w:rFonts w:ascii="仿宋" w:hAnsi="仿宋" w:eastAsia="仿宋"/>
                <w:color w:val="auto"/>
                <w:highlight w:val="none"/>
              </w:rPr>
            </w:pPr>
            <w:r>
              <w:rPr>
                <w:rFonts w:hint="eastAsia" w:ascii="仿宋" w:hAnsi="仿宋" w:eastAsia="仿宋"/>
                <w:color w:val="auto"/>
                <w:highlight w:val="none"/>
              </w:rPr>
              <w:t>餐饮</w:t>
            </w:r>
            <w:r>
              <w:rPr>
                <w:rFonts w:ascii="仿宋" w:hAnsi="仿宋" w:eastAsia="仿宋"/>
                <w:color w:val="auto"/>
                <w:highlight w:val="none"/>
              </w:rPr>
              <w:t>业</w:t>
            </w:r>
          </w:p>
        </w:tc>
        <w:tc>
          <w:tcPr>
            <w:tcW w:w="1447" w:type="dxa"/>
            <w:noWrap/>
            <w:vAlign w:val="center"/>
          </w:tcPr>
          <w:p w14:paraId="2F24CA5F">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ign w:val="center"/>
          </w:tcPr>
          <w:p w14:paraId="010E06EA">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ign w:val="center"/>
          </w:tcPr>
          <w:p w14:paraId="081F5018">
            <w:pPr>
              <w:spacing w:line="500" w:lineRule="exact"/>
              <w:jc w:val="center"/>
              <w:rPr>
                <w:rFonts w:eastAsia="仿宋"/>
                <w:color w:val="auto"/>
                <w:highlight w:val="none"/>
              </w:rPr>
            </w:pPr>
            <w:r>
              <w:rPr>
                <w:rFonts w:eastAsia="仿宋"/>
                <w:color w:val="auto"/>
                <w:highlight w:val="none"/>
              </w:rPr>
              <w:t>100≤X&lt;300</w:t>
            </w:r>
          </w:p>
        </w:tc>
        <w:tc>
          <w:tcPr>
            <w:tcW w:w="1572" w:type="dxa"/>
            <w:noWrap/>
            <w:vAlign w:val="center"/>
          </w:tcPr>
          <w:p w14:paraId="30665560">
            <w:pPr>
              <w:spacing w:line="500" w:lineRule="exact"/>
              <w:jc w:val="center"/>
              <w:rPr>
                <w:rFonts w:eastAsia="仿宋"/>
                <w:color w:val="auto"/>
                <w:highlight w:val="none"/>
              </w:rPr>
            </w:pPr>
            <w:r>
              <w:rPr>
                <w:rFonts w:eastAsia="仿宋"/>
                <w:color w:val="auto"/>
                <w:highlight w:val="none"/>
              </w:rPr>
              <w:t>10≤X&lt;100</w:t>
            </w:r>
          </w:p>
        </w:tc>
        <w:tc>
          <w:tcPr>
            <w:tcW w:w="1036" w:type="dxa"/>
            <w:noWrap/>
            <w:vAlign w:val="center"/>
          </w:tcPr>
          <w:p w14:paraId="2D157C43">
            <w:pPr>
              <w:spacing w:line="500" w:lineRule="exact"/>
              <w:jc w:val="center"/>
              <w:rPr>
                <w:rFonts w:eastAsia="仿宋"/>
                <w:color w:val="auto"/>
                <w:highlight w:val="none"/>
              </w:rPr>
            </w:pPr>
            <w:r>
              <w:rPr>
                <w:rFonts w:eastAsia="仿宋"/>
                <w:color w:val="auto"/>
                <w:highlight w:val="none"/>
              </w:rPr>
              <w:t>X&lt;10</w:t>
            </w:r>
          </w:p>
        </w:tc>
      </w:tr>
      <w:tr w14:paraId="17B37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noWrap/>
            <w:vAlign w:val="center"/>
          </w:tcPr>
          <w:p w14:paraId="50F10929">
            <w:pPr>
              <w:spacing w:line="500" w:lineRule="exact"/>
              <w:jc w:val="center"/>
              <w:rPr>
                <w:rFonts w:ascii="仿宋" w:hAnsi="仿宋" w:eastAsia="仿宋"/>
                <w:color w:val="auto"/>
                <w:highlight w:val="none"/>
              </w:rPr>
            </w:pPr>
          </w:p>
        </w:tc>
        <w:tc>
          <w:tcPr>
            <w:tcW w:w="1447" w:type="dxa"/>
            <w:noWrap/>
            <w:vAlign w:val="center"/>
          </w:tcPr>
          <w:p w14:paraId="42DA2935">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ign w:val="center"/>
          </w:tcPr>
          <w:p w14:paraId="09E18FAD">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ign w:val="center"/>
          </w:tcPr>
          <w:p w14:paraId="6FF23BED">
            <w:pPr>
              <w:spacing w:line="500" w:lineRule="exact"/>
              <w:jc w:val="center"/>
              <w:rPr>
                <w:rFonts w:eastAsia="仿宋"/>
                <w:color w:val="auto"/>
                <w:highlight w:val="none"/>
              </w:rPr>
            </w:pPr>
            <w:r>
              <w:rPr>
                <w:rFonts w:eastAsia="仿宋"/>
                <w:color w:val="auto"/>
                <w:highlight w:val="none"/>
              </w:rPr>
              <w:t>2000≤Y&lt;10000</w:t>
            </w:r>
          </w:p>
        </w:tc>
        <w:tc>
          <w:tcPr>
            <w:tcW w:w="1572" w:type="dxa"/>
            <w:noWrap/>
            <w:vAlign w:val="center"/>
          </w:tcPr>
          <w:p w14:paraId="3782170B">
            <w:pPr>
              <w:spacing w:line="500" w:lineRule="exact"/>
              <w:jc w:val="center"/>
              <w:rPr>
                <w:rFonts w:eastAsia="仿宋"/>
                <w:color w:val="auto"/>
                <w:highlight w:val="none"/>
              </w:rPr>
            </w:pPr>
            <w:r>
              <w:rPr>
                <w:rFonts w:eastAsia="仿宋"/>
                <w:color w:val="auto"/>
                <w:highlight w:val="none"/>
              </w:rPr>
              <w:t>100≤Y&lt;2000</w:t>
            </w:r>
          </w:p>
        </w:tc>
        <w:tc>
          <w:tcPr>
            <w:tcW w:w="1036" w:type="dxa"/>
            <w:noWrap/>
            <w:vAlign w:val="center"/>
          </w:tcPr>
          <w:p w14:paraId="3CAD9BC1">
            <w:pPr>
              <w:spacing w:line="500" w:lineRule="exact"/>
              <w:jc w:val="center"/>
              <w:rPr>
                <w:rFonts w:eastAsia="仿宋"/>
                <w:color w:val="auto"/>
                <w:highlight w:val="none"/>
              </w:rPr>
            </w:pPr>
            <w:r>
              <w:rPr>
                <w:rFonts w:eastAsia="仿宋"/>
                <w:color w:val="auto"/>
                <w:highlight w:val="none"/>
              </w:rPr>
              <w:t>Y&lt;100</w:t>
            </w:r>
          </w:p>
        </w:tc>
      </w:tr>
      <w:tr w14:paraId="2D0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noWrap/>
            <w:vAlign w:val="center"/>
          </w:tcPr>
          <w:p w14:paraId="6212F2E1">
            <w:pPr>
              <w:spacing w:line="500" w:lineRule="exact"/>
              <w:jc w:val="center"/>
              <w:rPr>
                <w:rFonts w:ascii="仿宋" w:hAnsi="仿宋" w:eastAsia="仿宋"/>
                <w:color w:val="auto"/>
                <w:highlight w:val="none"/>
              </w:rPr>
            </w:pPr>
            <w:r>
              <w:rPr>
                <w:rFonts w:hint="eastAsia" w:ascii="仿宋" w:hAnsi="仿宋" w:eastAsia="仿宋"/>
                <w:color w:val="auto"/>
                <w:highlight w:val="none"/>
              </w:rPr>
              <w:t>信息</w:t>
            </w:r>
            <w:r>
              <w:rPr>
                <w:rFonts w:ascii="仿宋" w:hAnsi="仿宋" w:eastAsia="仿宋"/>
                <w:color w:val="auto"/>
                <w:highlight w:val="none"/>
              </w:rPr>
              <w:t>传输业</w:t>
            </w:r>
          </w:p>
        </w:tc>
        <w:tc>
          <w:tcPr>
            <w:tcW w:w="1447" w:type="dxa"/>
            <w:noWrap/>
            <w:vAlign w:val="center"/>
          </w:tcPr>
          <w:p w14:paraId="25D52FCC">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ign w:val="center"/>
          </w:tcPr>
          <w:p w14:paraId="75A7C20E">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ign w:val="center"/>
          </w:tcPr>
          <w:p w14:paraId="02C6D246">
            <w:pPr>
              <w:spacing w:line="500" w:lineRule="exact"/>
              <w:jc w:val="center"/>
              <w:rPr>
                <w:rFonts w:eastAsia="仿宋"/>
                <w:color w:val="auto"/>
                <w:highlight w:val="none"/>
              </w:rPr>
            </w:pPr>
            <w:r>
              <w:rPr>
                <w:rFonts w:eastAsia="仿宋"/>
                <w:color w:val="auto"/>
                <w:highlight w:val="none"/>
              </w:rPr>
              <w:t>100≤X&lt;2000</w:t>
            </w:r>
          </w:p>
        </w:tc>
        <w:tc>
          <w:tcPr>
            <w:tcW w:w="1572" w:type="dxa"/>
            <w:noWrap/>
            <w:vAlign w:val="center"/>
          </w:tcPr>
          <w:p w14:paraId="27A65B78">
            <w:pPr>
              <w:spacing w:line="500" w:lineRule="exact"/>
              <w:jc w:val="center"/>
              <w:rPr>
                <w:rFonts w:eastAsia="仿宋"/>
                <w:color w:val="auto"/>
                <w:highlight w:val="none"/>
              </w:rPr>
            </w:pPr>
            <w:r>
              <w:rPr>
                <w:rFonts w:eastAsia="仿宋"/>
                <w:color w:val="auto"/>
                <w:highlight w:val="none"/>
              </w:rPr>
              <w:t>10≤X&lt;100</w:t>
            </w:r>
          </w:p>
        </w:tc>
        <w:tc>
          <w:tcPr>
            <w:tcW w:w="1036" w:type="dxa"/>
            <w:noWrap/>
            <w:vAlign w:val="center"/>
          </w:tcPr>
          <w:p w14:paraId="52335141">
            <w:pPr>
              <w:spacing w:line="500" w:lineRule="exact"/>
              <w:jc w:val="center"/>
              <w:rPr>
                <w:rFonts w:eastAsia="仿宋"/>
                <w:color w:val="auto"/>
                <w:highlight w:val="none"/>
              </w:rPr>
            </w:pPr>
            <w:r>
              <w:rPr>
                <w:rFonts w:eastAsia="仿宋"/>
                <w:color w:val="auto"/>
                <w:highlight w:val="none"/>
              </w:rPr>
              <w:t>X&lt;10</w:t>
            </w:r>
          </w:p>
        </w:tc>
      </w:tr>
      <w:tr w14:paraId="1375B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noWrap/>
            <w:vAlign w:val="center"/>
          </w:tcPr>
          <w:p w14:paraId="6B592BE2">
            <w:pPr>
              <w:spacing w:line="500" w:lineRule="exact"/>
              <w:jc w:val="center"/>
              <w:rPr>
                <w:rFonts w:ascii="仿宋" w:hAnsi="仿宋" w:eastAsia="仿宋"/>
                <w:color w:val="auto"/>
                <w:highlight w:val="none"/>
              </w:rPr>
            </w:pPr>
          </w:p>
        </w:tc>
        <w:tc>
          <w:tcPr>
            <w:tcW w:w="1447" w:type="dxa"/>
            <w:noWrap/>
            <w:vAlign w:val="center"/>
          </w:tcPr>
          <w:p w14:paraId="28534C53">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ign w:val="center"/>
          </w:tcPr>
          <w:p w14:paraId="7026E601">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ign w:val="center"/>
          </w:tcPr>
          <w:p w14:paraId="1EBA034F">
            <w:pPr>
              <w:spacing w:line="500" w:lineRule="exact"/>
              <w:jc w:val="center"/>
              <w:rPr>
                <w:rFonts w:eastAsia="仿宋"/>
                <w:color w:val="auto"/>
                <w:highlight w:val="none"/>
              </w:rPr>
            </w:pPr>
            <w:r>
              <w:rPr>
                <w:rFonts w:eastAsia="仿宋"/>
                <w:color w:val="auto"/>
                <w:highlight w:val="none"/>
              </w:rPr>
              <w:t>1000≤Y&lt;100000</w:t>
            </w:r>
          </w:p>
        </w:tc>
        <w:tc>
          <w:tcPr>
            <w:tcW w:w="1572" w:type="dxa"/>
            <w:noWrap/>
            <w:vAlign w:val="center"/>
          </w:tcPr>
          <w:p w14:paraId="35573A61">
            <w:pPr>
              <w:spacing w:line="500" w:lineRule="exact"/>
              <w:jc w:val="center"/>
              <w:rPr>
                <w:rFonts w:eastAsia="仿宋"/>
                <w:color w:val="auto"/>
                <w:highlight w:val="none"/>
              </w:rPr>
            </w:pPr>
            <w:r>
              <w:rPr>
                <w:rFonts w:eastAsia="仿宋"/>
                <w:color w:val="auto"/>
                <w:highlight w:val="none"/>
              </w:rPr>
              <w:t>100≤Y&lt;1000</w:t>
            </w:r>
          </w:p>
        </w:tc>
        <w:tc>
          <w:tcPr>
            <w:tcW w:w="1036" w:type="dxa"/>
            <w:noWrap/>
            <w:vAlign w:val="center"/>
          </w:tcPr>
          <w:p w14:paraId="5BA83093">
            <w:pPr>
              <w:spacing w:line="500" w:lineRule="exact"/>
              <w:jc w:val="center"/>
              <w:rPr>
                <w:rFonts w:eastAsia="仿宋"/>
                <w:color w:val="auto"/>
                <w:highlight w:val="none"/>
              </w:rPr>
            </w:pPr>
            <w:r>
              <w:rPr>
                <w:rFonts w:eastAsia="仿宋"/>
                <w:color w:val="auto"/>
                <w:highlight w:val="none"/>
              </w:rPr>
              <w:t>Y&lt;100</w:t>
            </w:r>
          </w:p>
        </w:tc>
      </w:tr>
      <w:tr w14:paraId="016A1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noWrap/>
            <w:vAlign w:val="center"/>
          </w:tcPr>
          <w:p w14:paraId="5241EF55">
            <w:pPr>
              <w:spacing w:line="500" w:lineRule="exact"/>
              <w:jc w:val="center"/>
              <w:rPr>
                <w:rFonts w:ascii="仿宋" w:hAnsi="仿宋" w:eastAsia="仿宋"/>
                <w:color w:val="auto"/>
                <w:highlight w:val="none"/>
              </w:rPr>
            </w:pPr>
            <w:r>
              <w:rPr>
                <w:rFonts w:hint="eastAsia" w:ascii="仿宋" w:hAnsi="仿宋" w:eastAsia="仿宋"/>
                <w:color w:val="auto"/>
                <w:highlight w:val="none"/>
              </w:rPr>
              <w:t>软件</w:t>
            </w:r>
            <w:r>
              <w:rPr>
                <w:rFonts w:ascii="仿宋" w:hAnsi="仿宋" w:eastAsia="仿宋"/>
                <w:color w:val="auto"/>
                <w:highlight w:val="none"/>
              </w:rPr>
              <w:t>和信息技术服务业</w:t>
            </w:r>
          </w:p>
        </w:tc>
        <w:tc>
          <w:tcPr>
            <w:tcW w:w="1447" w:type="dxa"/>
            <w:noWrap/>
            <w:vAlign w:val="center"/>
          </w:tcPr>
          <w:p w14:paraId="5BD316C4">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ign w:val="center"/>
          </w:tcPr>
          <w:p w14:paraId="19952878">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ign w:val="center"/>
          </w:tcPr>
          <w:p w14:paraId="5B00400D">
            <w:pPr>
              <w:spacing w:line="500" w:lineRule="exact"/>
              <w:jc w:val="center"/>
              <w:rPr>
                <w:rFonts w:eastAsia="仿宋"/>
                <w:color w:val="auto"/>
                <w:highlight w:val="none"/>
              </w:rPr>
            </w:pPr>
            <w:r>
              <w:rPr>
                <w:rFonts w:eastAsia="仿宋"/>
                <w:color w:val="auto"/>
                <w:highlight w:val="none"/>
              </w:rPr>
              <w:t>100≤X&lt;300</w:t>
            </w:r>
          </w:p>
        </w:tc>
        <w:tc>
          <w:tcPr>
            <w:tcW w:w="1572" w:type="dxa"/>
            <w:noWrap/>
            <w:vAlign w:val="center"/>
          </w:tcPr>
          <w:p w14:paraId="401E96B6">
            <w:pPr>
              <w:spacing w:line="500" w:lineRule="exact"/>
              <w:jc w:val="center"/>
              <w:rPr>
                <w:rFonts w:eastAsia="仿宋"/>
                <w:color w:val="auto"/>
                <w:highlight w:val="none"/>
              </w:rPr>
            </w:pPr>
            <w:r>
              <w:rPr>
                <w:rFonts w:eastAsia="仿宋"/>
                <w:color w:val="auto"/>
                <w:highlight w:val="none"/>
              </w:rPr>
              <w:t>10≤X&lt;100</w:t>
            </w:r>
          </w:p>
        </w:tc>
        <w:tc>
          <w:tcPr>
            <w:tcW w:w="1036" w:type="dxa"/>
            <w:noWrap/>
            <w:vAlign w:val="center"/>
          </w:tcPr>
          <w:p w14:paraId="01B7CD1E">
            <w:pPr>
              <w:spacing w:line="500" w:lineRule="exact"/>
              <w:jc w:val="center"/>
              <w:rPr>
                <w:rFonts w:eastAsia="仿宋"/>
                <w:color w:val="auto"/>
                <w:highlight w:val="none"/>
              </w:rPr>
            </w:pPr>
            <w:r>
              <w:rPr>
                <w:rFonts w:eastAsia="仿宋"/>
                <w:color w:val="auto"/>
                <w:highlight w:val="none"/>
              </w:rPr>
              <w:t>X&lt;10</w:t>
            </w:r>
          </w:p>
        </w:tc>
      </w:tr>
      <w:tr w14:paraId="094B5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noWrap/>
            <w:vAlign w:val="center"/>
          </w:tcPr>
          <w:p w14:paraId="48961C6C">
            <w:pPr>
              <w:spacing w:line="500" w:lineRule="exact"/>
              <w:jc w:val="center"/>
              <w:rPr>
                <w:rFonts w:ascii="仿宋" w:hAnsi="仿宋" w:eastAsia="仿宋"/>
                <w:color w:val="auto"/>
                <w:highlight w:val="none"/>
              </w:rPr>
            </w:pPr>
          </w:p>
        </w:tc>
        <w:tc>
          <w:tcPr>
            <w:tcW w:w="1447" w:type="dxa"/>
            <w:noWrap/>
            <w:vAlign w:val="center"/>
          </w:tcPr>
          <w:p w14:paraId="7E891BA1">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ign w:val="center"/>
          </w:tcPr>
          <w:p w14:paraId="00641609">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ign w:val="center"/>
          </w:tcPr>
          <w:p w14:paraId="6D9412C4">
            <w:pPr>
              <w:spacing w:line="500" w:lineRule="exact"/>
              <w:jc w:val="center"/>
              <w:rPr>
                <w:rFonts w:eastAsia="仿宋"/>
                <w:color w:val="auto"/>
                <w:highlight w:val="none"/>
              </w:rPr>
            </w:pPr>
            <w:r>
              <w:rPr>
                <w:rFonts w:eastAsia="仿宋"/>
                <w:color w:val="auto"/>
                <w:highlight w:val="none"/>
              </w:rPr>
              <w:t>1000≤Y&lt;10000</w:t>
            </w:r>
          </w:p>
        </w:tc>
        <w:tc>
          <w:tcPr>
            <w:tcW w:w="1572" w:type="dxa"/>
            <w:noWrap/>
            <w:vAlign w:val="center"/>
          </w:tcPr>
          <w:p w14:paraId="07347AB3">
            <w:pPr>
              <w:spacing w:line="500" w:lineRule="exact"/>
              <w:jc w:val="center"/>
              <w:rPr>
                <w:rFonts w:eastAsia="仿宋"/>
                <w:color w:val="auto"/>
                <w:highlight w:val="none"/>
              </w:rPr>
            </w:pPr>
            <w:r>
              <w:rPr>
                <w:rFonts w:eastAsia="仿宋"/>
                <w:color w:val="auto"/>
                <w:highlight w:val="none"/>
              </w:rPr>
              <w:t>50≤Y&lt;1000</w:t>
            </w:r>
          </w:p>
        </w:tc>
        <w:tc>
          <w:tcPr>
            <w:tcW w:w="1036" w:type="dxa"/>
            <w:noWrap/>
            <w:vAlign w:val="center"/>
          </w:tcPr>
          <w:p w14:paraId="0714BD60">
            <w:pPr>
              <w:spacing w:line="500" w:lineRule="exact"/>
              <w:jc w:val="center"/>
              <w:rPr>
                <w:rFonts w:eastAsia="仿宋"/>
                <w:color w:val="auto"/>
                <w:highlight w:val="none"/>
              </w:rPr>
            </w:pPr>
            <w:r>
              <w:rPr>
                <w:rFonts w:eastAsia="仿宋"/>
                <w:color w:val="auto"/>
                <w:highlight w:val="none"/>
              </w:rPr>
              <w:t>Y&lt;50</w:t>
            </w:r>
          </w:p>
        </w:tc>
      </w:tr>
      <w:tr w14:paraId="5B4C1D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noWrap/>
            <w:vAlign w:val="center"/>
          </w:tcPr>
          <w:p w14:paraId="2EEC1389">
            <w:pPr>
              <w:spacing w:line="500" w:lineRule="exact"/>
              <w:jc w:val="center"/>
              <w:rPr>
                <w:rFonts w:ascii="仿宋" w:hAnsi="仿宋" w:eastAsia="仿宋"/>
                <w:color w:val="auto"/>
                <w:highlight w:val="none"/>
              </w:rPr>
            </w:pPr>
            <w:r>
              <w:rPr>
                <w:rFonts w:hint="eastAsia" w:ascii="仿宋" w:hAnsi="仿宋" w:eastAsia="仿宋"/>
                <w:color w:val="auto"/>
                <w:highlight w:val="none"/>
              </w:rPr>
              <w:t>房</w:t>
            </w:r>
            <w:r>
              <w:rPr>
                <w:rFonts w:ascii="仿宋" w:hAnsi="仿宋" w:eastAsia="仿宋"/>
                <w:color w:val="auto"/>
                <w:highlight w:val="none"/>
              </w:rPr>
              <w:t>地产开发经营</w:t>
            </w:r>
          </w:p>
        </w:tc>
        <w:tc>
          <w:tcPr>
            <w:tcW w:w="1447" w:type="dxa"/>
            <w:noWrap/>
            <w:vAlign w:val="center"/>
          </w:tcPr>
          <w:p w14:paraId="30E68625">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ign w:val="center"/>
          </w:tcPr>
          <w:p w14:paraId="4140DCC5">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ign w:val="center"/>
          </w:tcPr>
          <w:p w14:paraId="6B9CA86B">
            <w:pPr>
              <w:spacing w:line="500" w:lineRule="exact"/>
              <w:jc w:val="center"/>
              <w:rPr>
                <w:rFonts w:eastAsia="仿宋"/>
                <w:color w:val="auto"/>
                <w:highlight w:val="none"/>
              </w:rPr>
            </w:pPr>
            <w:r>
              <w:rPr>
                <w:rFonts w:eastAsia="仿宋"/>
                <w:color w:val="auto"/>
                <w:highlight w:val="none"/>
              </w:rPr>
              <w:t>1000≤Y&lt;200000</w:t>
            </w:r>
          </w:p>
        </w:tc>
        <w:tc>
          <w:tcPr>
            <w:tcW w:w="1572" w:type="dxa"/>
            <w:noWrap/>
            <w:vAlign w:val="center"/>
          </w:tcPr>
          <w:p w14:paraId="1047D4EF">
            <w:pPr>
              <w:spacing w:line="500" w:lineRule="exact"/>
              <w:jc w:val="center"/>
              <w:rPr>
                <w:rFonts w:eastAsia="仿宋"/>
                <w:color w:val="auto"/>
                <w:highlight w:val="none"/>
              </w:rPr>
            </w:pPr>
            <w:r>
              <w:rPr>
                <w:rFonts w:eastAsia="仿宋"/>
                <w:color w:val="auto"/>
                <w:highlight w:val="none"/>
              </w:rPr>
              <w:t>100≤Y&lt;1000</w:t>
            </w:r>
          </w:p>
        </w:tc>
        <w:tc>
          <w:tcPr>
            <w:tcW w:w="1036" w:type="dxa"/>
            <w:noWrap/>
            <w:vAlign w:val="center"/>
          </w:tcPr>
          <w:p w14:paraId="0A136508">
            <w:pPr>
              <w:spacing w:line="500" w:lineRule="exact"/>
              <w:jc w:val="center"/>
              <w:rPr>
                <w:rFonts w:eastAsia="仿宋"/>
                <w:color w:val="auto"/>
                <w:highlight w:val="none"/>
              </w:rPr>
            </w:pPr>
            <w:r>
              <w:rPr>
                <w:rFonts w:eastAsia="仿宋"/>
                <w:color w:val="auto"/>
                <w:highlight w:val="none"/>
              </w:rPr>
              <w:t>Y&lt;100</w:t>
            </w:r>
          </w:p>
        </w:tc>
      </w:tr>
      <w:tr w14:paraId="134FE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noWrap/>
            <w:vAlign w:val="center"/>
          </w:tcPr>
          <w:p w14:paraId="7EDC77B3">
            <w:pPr>
              <w:spacing w:line="500" w:lineRule="exact"/>
              <w:jc w:val="center"/>
              <w:rPr>
                <w:rFonts w:ascii="仿宋" w:hAnsi="仿宋" w:eastAsia="仿宋"/>
                <w:color w:val="auto"/>
                <w:highlight w:val="none"/>
              </w:rPr>
            </w:pPr>
          </w:p>
        </w:tc>
        <w:tc>
          <w:tcPr>
            <w:tcW w:w="1447" w:type="dxa"/>
            <w:noWrap/>
            <w:vAlign w:val="center"/>
          </w:tcPr>
          <w:p w14:paraId="1279E339">
            <w:pPr>
              <w:spacing w:line="500" w:lineRule="exact"/>
              <w:jc w:val="center"/>
              <w:rPr>
                <w:rFonts w:ascii="仿宋" w:hAnsi="仿宋" w:eastAsia="仿宋"/>
                <w:color w:val="auto"/>
                <w:highlight w:val="none"/>
              </w:rPr>
            </w:pPr>
            <w:r>
              <w:rPr>
                <w:rFonts w:hint="eastAsia" w:ascii="仿宋" w:hAnsi="仿宋" w:eastAsia="仿宋"/>
                <w:color w:val="auto"/>
                <w:highlight w:val="none"/>
              </w:rPr>
              <w:t>资产</w:t>
            </w:r>
            <w:r>
              <w:rPr>
                <w:rFonts w:ascii="仿宋" w:hAnsi="仿宋" w:eastAsia="仿宋"/>
                <w:color w:val="auto"/>
                <w:highlight w:val="none"/>
              </w:rPr>
              <w:t>总额（</w:t>
            </w:r>
            <w:r>
              <w:rPr>
                <w:rFonts w:hint="eastAsia" w:ascii="仿宋" w:hAnsi="仿宋" w:eastAsia="仿宋"/>
                <w:color w:val="auto"/>
                <w:highlight w:val="none"/>
              </w:rPr>
              <w:t>Z）</w:t>
            </w:r>
          </w:p>
        </w:tc>
        <w:tc>
          <w:tcPr>
            <w:tcW w:w="683" w:type="dxa"/>
            <w:noWrap/>
            <w:vAlign w:val="center"/>
          </w:tcPr>
          <w:p w14:paraId="7D9540AC">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ign w:val="center"/>
          </w:tcPr>
          <w:p w14:paraId="543A6D71">
            <w:pPr>
              <w:spacing w:line="500" w:lineRule="exact"/>
              <w:jc w:val="center"/>
              <w:rPr>
                <w:rFonts w:eastAsia="仿宋"/>
                <w:color w:val="auto"/>
                <w:highlight w:val="none"/>
              </w:rPr>
            </w:pPr>
            <w:r>
              <w:rPr>
                <w:rFonts w:eastAsia="仿宋"/>
                <w:color w:val="auto"/>
                <w:highlight w:val="none"/>
              </w:rPr>
              <w:t>5000≤Z &lt;10000</w:t>
            </w:r>
          </w:p>
        </w:tc>
        <w:tc>
          <w:tcPr>
            <w:tcW w:w="1572" w:type="dxa"/>
            <w:noWrap/>
            <w:vAlign w:val="center"/>
          </w:tcPr>
          <w:p w14:paraId="3D661AAE">
            <w:pPr>
              <w:spacing w:line="500" w:lineRule="exact"/>
              <w:jc w:val="center"/>
              <w:rPr>
                <w:rFonts w:eastAsia="仿宋"/>
                <w:color w:val="auto"/>
                <w:highlight w:val="none"/>
              </w:rPr>
            </w:pPr>
            <w:r>
              <w:rPr>
                <w:rFonts w:eastAsia="仿宋"/>
                <w:color w:val="auto"/>
                <w:highlight w:val="none"/>
              </w:rPr>
              <w:t>2000≤Z &lt;5000</w:t>
            </w:r>
          </w:p>
        </w:tc>
        <w:tc>
          <w:tcPr>
            <w:tcW w:w="1036" w:type="dxa"/>
            <w:noWrap/>
            <w:vAlign w:val="center"/>
          </w:tcPr>
          <w:p w14:paraId="0B709452">
            <w:pPr>
              <w:spacing w:line="500" w:lineRule="exact"/>
              <w:jc w:val="center"/>
              <w:rPr>
                <w:rFonts w:eastAsia="仿宋"/>
                <w:color w:val="auto"/>
                <w:highlight w:val="none"/>
              </w:rPr>
            </w:pPr>
            <w:r>
              <w:rPr>
                <w:rFonts w:eastAsia="仿宋"/>
                <w:color w:val="auto"/>
                <w:highlight w:val="none"/>
              </w:rPr>
              <w:t>Z&lt;2000</w:t>
            </w:r>
          </w:p>
        </w:tc>
      </w:tr>
      <w:tr w14:paraId="7B74E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noWrap/>
            <w:vAlign w:val="center"/>
          </w:tcPr>
          <w:p w14:paraId="038BE033">
            <w:pPr>
              <w:spacing w:line="500" w:lineRule="exact"/>
              <w:jc w:val="center"/>
              <w:rPr>
                <w:rFonts w:ascii="仿宋" w:hAnsi="仿宋" w:eastAsia="仿宋"/>
                <w:color w:val="auto"/>
                <w:highlight w:val="none"/>
              </w:rPr>
            </w:pPr>
            <w:r>
              <w:rPr>
                <w:rFonts w:hint="eastAsia" w:ascii="仿宋" w:hAnsi="仿宋" w:eastAsia="仿宋"/>
                <w:color w:val="auto"/>
                <w:highlight w:val="none"/>
              </w:rPr>
              <w:t>物业管理</w:t>
            </w:r>
          </w:p>
        </w:tc>
        <w:tc>
          <w:tcPr>
            <w:tcW w:w="1447" w:type="dxa"/>
            <w:noWrap/>
            <w:vAlign w:val="center"/>
          </w:tcPr>
          <w:p w14:paraId="7CC614CF">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ign w:val="center"/>
          </w:tcPr>
          <w:p w14:paraId="2F69D6E3">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ign w:val="center"/>
          </w:tcPr>
          <w:p w14:paraId="76E08AD1">
            <w:pPr>
              <w:spacing w:line="500" w:lineRule="exact"/>
              <w:jc w:val="center"/>
              <w:rPr>
                <w:rFonts w:eastAsia="仿宋"/>
                <w:color w:val="auto"/>
                <w:highlight w:val="none"/>
              </w:rPr>
            </w:pPr>
            <w:r>
              <w:rPr>
                <w:rFonts w:eastAsia="仿宋"/>
                <w:color w:val="auto"/>
                <w:highlight w:val="none"/>
              </w:rPr>
              <w:t>300≤X&lt;1000</w:t>
            </w:r>
          </w:p>
        </w:tc>
        <w:tc>
          <w:tcPr>
            <w:tcW w:w="1572" w:type="dxa"/>
            <w:noWrap/>
            <w:vAlign w:val="center"/>
          </w:tcPr>
          <w:p w14:paraId="410A8BA8">
            <w:pPr>
              <w:spacing w:line="500" w:lineRule="exact"/>
              <w:jc w:val="center"/>
              <w:rPr>
                <w:rFonts w:eastAsia="仿宋"/>
                <w:color w:val="auto"/>
                <w:highlight w:val="none"/>
              </w:rPr>
            </w:pPr>
            <w:r>
              <w:rPr>
                <w:rFonts w:eastAsia="仿宋"/>
                <w:color w:val="auto"/>
                <w:highlight w:val="none"/>
              </w:rPr>
              <w:t>100≤X&lt;300</w:t>
            </w:r>
          </w:p>
        </w:tc>
        <w:tc>
          <w:tcPr>
            <w:tcW w:w="1036" w:type="dxa"/>
            <w:noWrap/>
            <w:vAlign w:val="center"/>
          </w:tcPr>
          <w:p w14:paraId="59CA1BFF">
            <w:pPr>
              <w:spacing w:line="500" w:lineRule="exact"/>
              <w:jc w:val="center"/>
              <w:rPr>
                <w:rFonts w:eastAsia="仿宋"/>
                <w:color w:val="auto"/>
                <w:highlight w:val="none"/>
              </w:rPr>
            </w:pPr>
            <w:r>
              <w:rPr>
                <w:rFonts w:eastAsia="仿宋"/>
                <w:color w:val="auto"/>
                <w:highlight w:val="none"/>
              </w:rPr>
              <w:t>X&lt;100</w:t>
            </w:r>
          </w:p>
        </w:tc>
      </w:tr>
      <w:tr w14:paraId="1E77D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noWrap/>
            <w:vAlign w:val="center"/>
          </w:tcPr>
          <w:p w14:paraId="334F09FF">
            <w:pPr>
              <w:spacing w:line="500" w:lineRule="exact"/>
              <w:jc w:val="center"/>
              <w:rPr>
                <w:rFonts w:ascii="仿宋" w:hAnsi="仿宋" w:eastAsia="仿宋"/>
                <w:color w:val="auto"/>
                <w:highlight w:val="none"/>
              </w:rPr>
            </w:pPr>
          </w:p>
        </w:tc>
        <w:tc>
          <w:tcPr>
            <w:tcW w:w="1447" w:type="dxa"/>
            <w:noWrap/>
            <w:vAlign w:val="center"/>
          </w:tcPr>
          <w:p w14:paraId="06DC93DD">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noWrap/>
            <w:vAlign w:val="center"/>
          </w:tcPr>
          <w:p w14:paraId="23549C2B">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ign w:val="center"/>
          </w:tcPr>
          <w:p w14:paraId="5CB4706C">
            <w:pPr>
              <w:spacing w:line="500" w:lineRule="exact"/>
              <w:jc w:val="center"/>
              <w:rPr>
                <w:rFonts w:eastAsia="仿宋"/>
                <w:color w:val="auto"/>
                <w:highlight w:val="none"/>
              </w:rPr>
            </w:pPr>
            <w:r>
              <w:rPr>
                <w:rFonts w:eastAsia="仿宋"/>
                <w:color w:val="auto"/>
                <w:highlight w:val="none"/>
              </w:rPr>
              <w:t>1000≤Y&lt;5000</w:t>
            </w:r>
          </w:p>
        </w:tc>
        <w:tc>
          <w:tcPr>
            <w:tcW w:w="1572" w:type="dxa"/>
            <w:noWrap/>
            <w:vAlign w:val="center"/>
          </w:tcPr>
          <w:p w14:paraId="2A5B9498">
            <w:pPr>
              <w:spacing w:line="500" w:lineRule="exact"/>
              <w:jc w:val="center"/>
              <w:rPr>
                <w:rFonts w:eastAsia="仿宋"/>
                <w:color w:val="auto"/>
                <w:highlight w:val="none"/>
              </w:rPr>
            </w:pPr>
            <w:r>
              <w:rPr>
                <w:rFonts w:eastAsia="仿宋"/>
                <w:color w:val="auto"/>
                <w:highlight w:val="none"/>
              </w:rPr>
              <w:t>500≤Y&lt;1000</w:t>
            </w:r>
          </w:p>
        </w:tc>
        <w:tc>
          <w:tcPr>
            <w:tcW w:w="1036" w:type="dxa"/>
            <w:noWrap/>
            <w:vAlign w:val="center"/>
          </w:tcPr>
          <w:p w14:paraId="793C4529">
            <w:pPr>
              <w:spacing w:line="500" w:lineRule="exact"/>
              <w:jc w:val="center"/>
              <w:rPr>
                <w:rFonts w:eastAsia="仿宋"/>
                <w:color w:val="auto"/>
                <w:highlight w:val="none"/>
              </w:rPr>
            </w:pPr>
            <w:r>
              <w:rPr>
                <w:rFonts w:eastAsia="仿宋"/>
                <w:color w:val="auto"/>
                <w:highlight w:val="none"/>
              </w:rPr>
              <w:t>Y&lt;500</w:t>
            </w:r>
          </w:p>
        </w:tc>
      </w:tr>
      <w:tr w14:paraId="27EC4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restart"/>
            <w:noWrap/>
            <w:vAlign w:val="center"/>
          </w:tcPr>
          <w:p w14:paraId="5D10DD9B">
            <w:pPr>
              <w:spacing w:line="500" w:lineRule="exact"/>
              <w:jc w:val="center"/>
              <w:rPr>
                <w:rFonts w:ascii="仿宋" w:hAnsi="仿宋" w:eastAsia="仿宋"/>
                <w:color w:val="auto"/>
                <w:highlight w:val="none"/>
              </w:rPr>
            </w:pPr>
            <w:r>
              <w:rPr>
                <w:rFonts w:hint="eastAsia" w:ascii="仿宋" w:hAnsi="仿宋" w:eastAsia="仿宋"/>
                <w:color w:val="auto"/>
                <w:highlight w:val="none"/>
              </w:rPr>
              <w:t>租赁</w:t>
            </w:r>
            <w:r>
              <w:rPr>
                <w:rFonts w:ascii="仿宋" w:hAnsi="仿宋" w:eastAsia="仿宋"/>
                <w:color w:val="auto"/>
                <w:highlight w:val="none"/>
              </w:rPr>
              <w:t>和商务服务业</w:t>
            </w:r>
          </w:p>
        </w:tc>
        <w:tc>
          <w:tcPr>
            <w:tcW w:w="1447" w:type="dxa"/>
            <w:noWrap/>
            <w:vAlign w:val="center"/>
          </w:tcPr>
          <w:p w14:paraId="5B98DAD2">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ign w:val="center"/>
          </w:tcPr>
          <w:p w14:paraId="59856BEC">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ign w:val="center"/>
          </w:tcPr>
          <w:p w14:paraId="627D2B8A">
            <w:pPr>
              <w:spacing w:line="500" w:lineRule="exact"/>
              <w:jc w:val="center"/>
              <w:rPr>
                <w:rFonts w:eastAsia="仿宋"/>
                <w:color w:val="auto"/>
                <w:highlight w:val="none"/>
              </w:rPr>
            </w:pPr>
            <w:r>
              <w:rPr>
                <w:rFonts w:eastAsia="仿宋"/>
                <w:color w:val="auto"/>
                <w:highlight w:val="none"/>
              </w:rPr>
              <w:t>100≤X&lt;300</w:t>
            </w:r>
          </w:p>
        </w:tc>
        <w:tc>
          <w:tcPr>
            <w:tcW w:w="1572" w:type="dxa"/>
            <w:noWrap/>
            <w:vAlign w:val="center"/>
          </w:tcPr>
          <w:p w14:paraId="1FF1F2D3">
            <w:pPr>
              <w:spacing w:line="500" w:lineRule="exact"/>
              <w:jc w:val="center"/>
              <w:rPr>
                <w:rFonts w:eastAsia="仿宋"/>
                <w:color w:val="auto"/>
                <w:highlight w:val="none"/>
              </w:rPr>
            </w:pPr>
            <w:r>
              <w:rPr>
                <w:rFonts w:eastAsia="仿宋"/>
                <w:color w:val="auto"/>
                <w:highlight w:val="none"/>
              </w:rPr>
              <w:t>10≤X&lt;100</w:t>
            </w:r>
          </w:p>
        </w:tc>
        <w:tc>
          <w:tcPr>
            <w:tcW w:w="1036" w:type="dxa"/>
            <w:noWrap/>
            <w:vAlign w:val="center"/>
          </w:tcPr>
          <w:p w14:paraId="21B38FA0">
            <w:pPr>
              <w:spacing w:line="500" w:lineRule="exact"/>
              <w:jc w:val="center"/>
              <w:rPr>
                <w:rFonts w:eastAsia="仿宋"/>
                <w:color w:val="auto"/>
                <w:highlight w:val="none"/>
              </w:rPr>
            </w:pPr>
            <w:r>
              <w:rPr>
                <w:rFonts w:eastAsia="仿宋"/>
                <w:color w:val="auto"/>
                <w:highlight w:val="none"/>
              </w:rPr>
              <w:t>X&lt;10</w:t>
            </w:r>
          </w:p>
        </w:tc>
      </w:tr>
      <w:tr w14:paraId="21C3D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vMerge w:val="continue"/>
            <w:noWrap/>
            <w:vAlign w:val="center"/>
          </w:tcPr>
          <w:p w14:paraId="6A7B3355">
            <w:pPr>
              <w:spacing w:line="500" w:lineRule="exact"/>
              <w:jc w:val="center"/>
              <w:rPr>
                <w:rFonts w:ascii="仿宋" w:hAnsi="仿宋" w:eastAsia="仿宋"/>
                <w:color w:val="auto"/>
                <w:highlight w:val="none"/>
              </w:rPr>
            </w:pPr>
          </w:p>
        </w:tc>
        <w:tc>
          <w:tcPr>
            <w:tcW w:w="1447" w:type="dxa"/>
            <w:noWrap/>
            <w:vAlign w:val="center"/>
          </w:tcPr>
          <w:p w14:paraId="0AD97706">
            <w:pPr>
              <w:spacing w:line="500" w:lineRule="exact"/>
              <w:jc w:val="center"/>
              <w:rPr>
                <w:rFonts w:ascii="仿宋" w:hAnsi="仿宋" w:eastAsia="仿宋"/>
                <w:color w:val="auto"/>
                <w:highlight w:val="none"/>
              </w:rPr>
            </w:pPr>
            <w:r>
              <w:rPr>
                <w:rFonts w:hint="eastAsia" w:ascii="仿宋" w:hAnsi="仿宋" w:eastAsia="仿宋"/>
                <w:color w:val="auto"/>
                <w:highlight w:val="none"/>
              </w:rPr>
              <w:t>资产</w:t>
            </w:r>
            <w:r>
              <w:rPr>
                <w:rFonts w:ascii="仿宋" w:hAnsi="仿宋" w:eastAsia="仿宋"/>
                <w:color w:val="auto"/>
                <w:highlight w:val="none"/>
              </w:rPr>
              <w:t>总额（</w:t>
            </w:r>
            <w:r>
              <w:rPr>
                <w:rFonts w:hint="eastAsia" w:ascii="仿宋" w:hAnsi="仿宋" w:eastAsia="仿宋"/>
                <w:color w:val="auto"/>
                <w:highlight w:val="none"/>
              </w:rPr>
              <w:t>Z）</w:t>
            </w:r>
          </w:p>
        </w:tc>
        <w:tc>
          <w:tcPr>
            <w:tcW w:w="683" w:type="dxa"/>
            <w:noWrap/>
            <w:vAlign w:val="center"/>
          </w:tcPr>
          <w:p w14:paraId="0444CB10">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noWrap/>
            <w:vAlign w:val="center"/>
          </w:tcPr>
          <w:p w14:paraId="6911DE50">
            <w:pPr>
              <w:spacing w:line="500" w:lineRule="exact"/>
              <w:jc w:val="center"/>
              <w:rPr>
                <w:rFonts w:eastAsia="仿宋"/>
                <w:color w:val="auto"/>
                <w:highlight w:val="none"/>
              </w:rPr>
            </w:pPr>
            <w:r>
              <w:rPr>
                <w:rFonts w:eastAsia="仿宋"/>
                <w:color w:val="auto"/>
                <w:highlight w:val="none"/>
              </w:rPr>
              <w:t>8000≤Z &lt;120000</w:t>
            </w:r>
          </w:p>
        </w:tc>
        <w:tc>
          <w:tcPr>
            <w:tcW w:w="1572" w:type="dxa"/>
            <w:noWrap/>
            <w:vAlign w:val="center"/>
          </w:tcPr>
          <w:p w14:paraId="6DBE535E">
            <w:pPr>
              <w:spacing w:line="500" w:lineRule="exact"/>
              <w:jc w:val="center"/>
              <w:rPr>
                <w:rFonts w:eastAsia="仿宋"/>
                <w:color w:val="auto"/>
                <w:highlight w:val="none"/>
              </w:rPr>
            </w:pPr>
            <w:r>
              <w:rPr>
                <w:rFonts w:eastAsia="仿宋"/>
                <w:color w:val="auto"/>
                <w:highlight w:val="none"/>
              </w:rPr>
              <w:t>100≤Z &lt;8000</w:t>
            </w:r>
          </w:p>
        </w:tc>
        <w:tc>
          <w:tcPr>
            <w:tcW w:w="1036" w:type="dxa"/>
            <w:noWrap/>
            <w:vAlign w:val="center"/>
          </w:tcPr>
          <w:p w14:paraId="4C13FA24">
            <w:pPr>
              <w:spacing w:line="500" w:lineRule="exact"/>
              <w:jc w:val="center"/>
              <w:rPr>
                <w:rFonts w:eastAsia="仿宋"/>
                <w:color w:val="auto"/>
                <w:highlight w:val="none"/>
              </w:rPr>
            </w:pPr>
            <w:r>
              <w:rPr>
                <w:rFonts w:eastAsia="仿宋"/>
                <w:color w:val="auto"/>
                <w:highlight w:val="none"/>
              </w:rPr>
              <w:t>Z&lt;100</w:t>
            </w:r>
          </w:p>
        </w:tc>
      </w:tr>
      <w:tr w14:paraId="76241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954" w:type="dxa"/>
            <w:noWrap/>
            <w:vAlign w:val="center"/>
          </w:tcPr>
          <w:p w14:paraId="30522C2A">
            <w:pPr>
              <w:spacing w:line="500" w:lineRule="exact"/>
              <w:jc w:val="center"/>
              <w:rPr>
                <w:rFonts w:ascii="仿宋" w:hAnsi="仿宋" w:eastAsia="仿宋"/>
                <w:color w:val="auto"/>
                <w:highlight w:val="none"/>
              </w:rPr>
            </w:pPr>
            <w:r>
              <w:rPr>
                <w:rFonts w:hint="eastAsia" w:ascii="仿宋" w:hAnsi="仿宋" w:eastAsia="仿宋"/>
                <w:color w:val="auto"/>
                <w:highlight w:val="none"/>
              </w:rPr>
              <w:t>其</w:t>
            </w:r>
            <w:r>
              <w:rPr>
                <w:rFonts w:ascii="仿宋" w:hAnsi="仿宋" w:eastAsia="仿宋"/>
                <w:color w:val="auto"/>
                <w:highlight w:val="none"/>
              </w:rPr>
              <w:t>他未列明行业</w:t>
            </w:r>
          </w:p>
        </w:tc>
        <w:tc>
          <w:tcPr>
            <w:tcW w:w="1447" w:type="dxa"/>
            <w:noWrap/>
            <w:vAlign w:val="center"/>
          </w:tcPr>
          <w:p w14:paraId="70BE294D">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noWrap/>
            <w:vAlign w:val="center"/>
          </w:tcPr>
          <w:p w14:paraId="7B16C830">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noWrap/>
            <w:vAlign w:val="center"/>
          </w:tcPr>
          <w:p w14:paraId="129D0A4A">
            <w:pPr>
              <w:spacing w:line="500" w:lineRule="exact"/>
              <w:jc w:val="center"/>
              <w:rPr>
                <w:rFonts w:eastAsia="仿宋"/>
                <w:color w:val="auto"/>
                <w:highlight w:val="none"/>
              </w:rPr>
            </w:pPr>
            <w:r>
              <w:rPr>
                <w:rFonts w:eastAsia="仿宋"/>
                <w:color w:val="auto"/>
                <w:highlight w:val="none"/>
              </w:rPr>
              <w:t>100≤X&lt;300</w:t>
            </w:r>
          </w:p>
        </w:tc>
        <w:tc>
          <w:tcPr>
            <w:tcW w:w="1572" w:type="dxa"/>
            <w:noWrap/>
            <w:vAlign w:val="center"/>
          </w:tcPr>
          <w:p w14:paraId="7E48133E">
            <w:pPr>
              <w:spacing w:line="500" w:lineRule="exact"/>
              <w:jc w:val="center"/>
              <w:rPr>
                <w:rFonts w:eastAsia="仿宋"/>
                <w:color w:val="auto"/>
                <w:highlight w:val="none"/>
              </w:rPr>
            </w:pPr>
            <w:r>
              <w:rPr>
                <w:rFonts w:eastAsia="仿宋"/>
                <w:color w:val="auto"/>
                <w:highlight w:val="none"/>
              </w:rPr>
              <w:t>10≤X&lt;100</w:t>
            </w:r>
          </w:p>
        </w:tc>
        <w:tc>
          <w:tcPr>
            <w:tcW w:w="1036" w:type="dxa"/>
            <w:noWrap/>
            <w:vAlign w:val="center"/>
          </w:tcPr>
          <w:p w14:paraId="35575CFE">
            <w:pPr>
              <w:spacing w:line="500" w:lineRule="exact"/>
              <w:jc w:val="center"/>
              <w:rPr>
                <w:rFonts w:eastAsia="仿宋"/>
                <w:color w:val="auto"/>
                <w:highlight w:val="none"/>
              </w:rPr>
            </w:pPr>
            <w:r>
              <w:rPr>
                <w:rFonts w:eastAsia="仿宋"/>
                <w:color w:val="auto"/>
                <w:highlight w:val="none"/>
              </w:rPr>
              <w:t>X&lt;10</w:t>
            </w:r>
          </w:p>
        </w:tc>
      </w:tr>
    </w:tbl>
    <w:p w14:paraId="407D9D19">
      <w:pPr>
        <w:spacing w:line="500" w:lineRule="exact"/>
        <w:ind w:firstLine="420"/>
        <w:rPr>
          <w:rFonts w:ascii="仿宋" w:hAnsi="仿宋" w:eastAsia="仿宋"/>
          <w:color w:val="auto"/>
          <w:sz w:val="28"/>
          <w:szCs w:val="28"/>
          <w:highlight w:val="none"/>
        </w:rPr>
      </w:pPr>
      <w:r>
        <w:rPr>
          <w:rFonts w:hint="eastAsia" w:ascii="仿宋" w:hAnsi="仿宋" w:eastAsia="仿宋"/>
          <w:color w:val="auto"/>
          <w:highlight w:val="none"/>
        </w:rPr>
        <w:t>说明：大型、中型和小型企业须同时满足所列指标的下限，否则下划一档；微型企业只须满足所列指标中的一项即可。</w:t>
      </w:r>
    </w:p>
    <w:p w14:paraId="6EA3274A">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7.2 残疾人福利单位价格扣除</w:t>
      </w:r>
    </w:p>
    <w:p w14:paraId="6EC7EAD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7.2.1</w:t>
      </w:r>
      <w:r>
        <w:rPr>
          <w:rFonts w:ascii="仿宋" w:hAnsi="仿宋" w:eastAsia="仿宋"/>
          <w:color w:val="auto"/>
          <w:sz w:val="28"/>
          <w:szCs w:val="28"/>
          <w:highlight w:val="none"/>
        </w:rPr>
        <w:t>享受政府采购支持政策的残疾人福利性单位应当同时满足以下条件：</w:t>
      </w:r>
    </w:p>
    <w:p w14:paraId="5A8C3851">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1320F078">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依法与安置的每位残疾人签订了一年以上（含一年）的劳动合同或服务协议；</w:t>
      </w:r>
    </w:p>
    <w:p w14:paraId="02E71E14">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为安置的每位残疾人按月足额缴纳了基本养老保险、基本医疗保险、失业保险、工伤保险和生育保险等社会保险费；</w:t>
      </w:r>
    </w:p>
    <w:p w14:paraId="359608F4">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通过银行等金融机构向安置的每位残疾人，按月支付了不低于单位所在区县适用的经省级人民政府批准的月最低工资标准的工资；</w:t>
      </w:r>
    </w:p>
    <w:p w14:paraId="595EBABD">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提供本单位制造的货物、承担的工程或者服务（以下简称产品），或者提供其他残疾人福利性单位制造的货物（不包括使用非残疾人福利性单位注册商标的货物）。</w:t>
      </w:r>
    </w:p>
    <w:p w14:paraId="557908BD">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3F58A8E0">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7.2.3 残疾人福利单位需按照采购文件的要求提供《残疾人福利性单位声明函》，否则不予享受。</w:t>
      </w:r>
    </w:p>
    <w:p w14:paraId="7134ADEC">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7.2.4 残疾人福利单位属于小型、微型企业的，不重复享受政策。</w:t>
      </w:r>
    </w:p>
    <w:p w14:paraId="731FEFA2">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7.3 监狱和戒毒企业价格扣除</w:t>
      </w:r>
    </w:p>
    <w:p w14:paraId="3B1E95FC">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C0215CB">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7.3.2 监狱企业参加政府采购活动时，应当提供由省级以上监狱管理局、戒毒管理局(含新疆生产建设兵团)出具的属于监狱企业的证明文件。</w:t>
      </w:r>
    </w:p>
    <w:p w14:paraId="1EC8ADB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7.3.3 在政府采购活动中，监狱企业视同小型、微型企业，享受预留份额、评审中价格扣除等政府采购促进中小企业发展的政府采购政策。</w:t>
      </w:r>
    </w:p>
    <w:p w14:paraId="42176607">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7.3.4 监狱企业属于小型、微型企业的，不重复享受政策。</w:t>
      </w:r>
    </w:p>
    <w:p w14:paraId="5535204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7.4 根据《财政部、发展改革委关于印发节能产品政府采购品目清单的通知》（</w:t>
      </w:r>
      <w:r>
        <w:rPr>
          <w:rFonts w:hint="eastAsia" w:ascii="仿宋" w:hAnsi="仿宋" w:eastAsia="仿宋" w:cs="宋体"/>
          <w:color w:val="auto"/>
          <w:sz w:val="26"/>
          <w:szCs w:val="26"/>
          <w:highlight w:val="none"/>
        </w:rPr>
        <w:t>财库〔2019〕19号</w:t>
      </w:r>
      <w:r>
        <w:rPr>
          <w:rFonts w:hint="eastAsia" w:ascii="仿宋" w:hAnsi="仿宋" w:eastAsia="仿宋"/>
          <w:color w:val="auto"/>
          <w:sz w:val="28"/>
          <w:szCs w:val="28"/>
          <w:highlight w:val="none"/>
        </w:rPr>
        <w:t>）要求，下列产品实行强制采购或者优先采购：</w:t>
      </w:r>
    </w:p>
    <w:p w14:paraId="24077657">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4E335D9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31DF78F9">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color w:val="auto"/>
          <w:sz w:val="28"/>
          <w:szCs w:val="28"/>
          <w:highlight w:val="none"/>
        </w:rPr>
        <w:t>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内的</w:t>
      </w:r>
      <w:r>
        <w:rPr>
          <w:rFonts w:hint="eastAsia" w:ascii="仿宋" w:hAnsi="仿宋" w:eastAsia="仿宋"/>
          <w:color w:val="auto"/>
          <w:sz w:val="28"/>
          <w:szCs w:val="28"/>
          <w:highlight w:val="none"/>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0BE3215A">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7.6 根据《江苏省政府采购供应商监督管理暂行办法》的规定，诚信记录分每减10分，给予本项目总分值2%的扣分，扣分最多不超过本项目总分值6%。</w:t>
      </w:r>
    </w:p>
    <w:p w14:paraId="40111D91">
      <w:pPr>
        <w:spacing w:line="500" w:lineRule="exact"/>
        <w:ind w:firstLine="560"/>
        <w:rPr>
          <w:rFonts w:ascii="黑体" w:hAnsi="黑体" w:eastAsia="黑体"/>
          <w:bCs/>
          <w:color w:val="auto"/>
          <w:sz w:val="28"/>
          <w:szCs w:val="28"/>
          <w:highlight w:val="none"/>
        </w:rPr>
      </w:pPr>
      <w:r>
        <w:rPr>
          <w:rFonts w:hint="eastAsia" w:ascii="黑体" w:hAnsi="黑体" w:eastAsia="黑体"/>
          <w:bCs/>
          <w:color w:val="auto"/>
          <w:sz w:val="28"/>
          <w:szCs w:val="28"/>
          <w:highlight w:val="none"/>
        </w:rPr>
        <w:t>8.无效响应和磋商活动终止</w:t>
      </w:r>
    </w:p>
    <w:p w14:paraId="74DB9AF7">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p>
    <w:p w14:paraId="1FBAA6CD">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8.1.1 不具备竞争性磋商文件中规定的资格要求的。</w:t>
      </w:r>
    </w:p>
    <w:p w14:paraId="7BF8B0F9">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8.1.2 最后报价超过了采购预算或最高限价的。</w:t>
      </w:r>
    </w:p>
    <w:p w14:paraId="0C598C08">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8.1.3 未通过符合性审查的。</w:t>
      </w:r>
    </w:p>
    <w:p w14:paraId="66DB8145">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8.1.4不符合法律、法规和竞争性磋商文件中规定的其他实质性要求的。</w:t>
      </w:r>
    </w:p>
    <w:p w14:paraId="25F9A20F">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76B9EA01">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8.1.6 响应文件含有采购人不能接受的附加条件的。</w:t>
      </w:r>
    </w:p>
    <w:p w14:paraId="22943CDB">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8.1.7 本项目采购产品被财政部、国家发改委、生态环境部等列入“节能产品品目清单”、“环境标志产品品目清单”强制采购范围，而供应商的响应产品不在强制采购范围内的。</w:t>
      </w:r>
    </w:p>
    <w:p w14:paraId="3030553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8.1.8 响应文件未按照磋商文件要求加盖电子签章。</w:t>
      </w:r>
    </w:p>
    <w:p w14:paraId="74C24632">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8.1.9 供应商在系统规定的时间内未成功解密电子响应文件的。</w:t>
      </w:r>
    </w:p>
    <w:p w14:paraId="5D119C10">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8.1.10 未完整上传响应文件电子文档的,或上传的文件打不开的。</w:t>
      </w:r>
    </w:p>
    <w:p w14:paraId="0E03FF14">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8.1.11 不同的供应商响应文件制作机器码、文件创建标识码一致的。</w:t>
      </w:r>
    </w:p>
    <w:p w14:paraId="2DEE7B6F">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8.1.12其他法律、法规及本磋商文件规定的属无效响应的情形。</w:t>
      </w:r>
    </w:p>
    <w:p w14:paraId="4191FE2F">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8.2 出现下列情形之一的，本次竞争性磋商采购活动将被终止：</w:t>
      </w:r>
    </w:p>
    <w:p w14:paraId="56A4AF4C">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因情况变化，不再符合规定的竞争性</w:t>
      </w:r>
      <w:r>
        <w:rPr>
          <w:rFonts w:hint="eastAsia" w:ascii="仿宋" w:hAnsi="仿宋" w:eastAsia="仿宋"/>
          <w:color w:val="auto"/>
          <w:sz w:val="28"/>
          <w:szCs w:val="28"/>
          <w:highlight w:val="none"/>
        </w:rPr>
        <w:t>磋商</w:t>
      </w:r>
      <w:r>
        <w:rPr>
          <w:rFonts w:ascii="仿宋" w:hAnsi="仿宋" w:eastAsia="仿宋"/>
          <w:color w:val="auto"/>
          <w:sz w:val="28"/>
          <w:szCs w:val="28"/>
          <w:highlight w:val="none"/>
        </w:rPr>
        <w:t>采购方式适用情形的；</w:t>
      </w:r>
    </w:p>
    <w:p w14:paraId="6B27527C">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出现影响采购公正的违法、违规行为的；</w:t>
      </w:r>
    </w:p>
    <w:p w14:paraId="7E9E1847">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8.2.3 除了市场竞争不充分的科研项目、需要扶持的科技成果转化项目和政府购买服务项目之外，在采购过程中符合要求的供应商或者报价未超过采购预算的供应商不足3家的。</w:t>
      </w:r>
    </w:p>
    <w:p w14:paraId="6F9315DA">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8.2.3 对于市场竞争不充分的科研项目、需要扶持的科技成果转化项目或者政府购买服务项目，提交最后报价的供应商不足2家。</w:t>
      </w:r>
    </w:p>
    <w:p w14:paraId="390E4130">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8.2.5  因重大变故，采购任务取消的。</w:t>
      </w:r>
    </w:p>
    <w:p w14:paraId="5CBC134C">
      <w:pPr>
        <w:spacing w:line="500" w:lineRule="exact"/>
        <w:ind w:firstLine="560"/>
        <w:rPr>
          <w:rFonts w:ascii="黑体" w:hAnsi="黑体" w:eastAsia="黑体"/>
          <w:color w:val="auto"/>
          <w:sz w:val="28"/>
          <w:szCs w:val="28"/>
          <w:highlight w:val="none"/>
        </w:rPr>
      </w:pPr>
      <w:r>
        <w:rPr>
          <w:rFonts w:hint="eastAsia" w:ascii="黑体" w:hAnsi="黑体" w:eastAsia="黑体"/>
          <w:color w:val="auto"/>
          <w:sz w:val="28"/>
          <w:szCs w:val="28"/>
          <w:highlight w:val="none"/>
        </w:rPr>
        <w:t>9. 询问、质疑和投诉</w:t>
      </w:r>
    </w:p>
    <w:p w14:paraId="77CA4EB1">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9.1 供应商对政府采购活动事项有疑问的，可以向采购人或者采购代理机构提出询问，采购人或者采购代理机构应当在3个工作日内作出答复。</w:t>
      </w:r>
    </w:p>
    <w:p w14:paraId="2B1F37BF">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9.2 供应商认为采购文件、采购过程、中标或者成交结果使自己的权益受到损害的，可以在知道或者应知其权益受到损害之日起7个工作日内，以书面形式向采购人、采购代理机构提出质疑。</w:t>
      </w:r>
    </w:p>
    <w:p w14:paraId="22FCFC19">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上述应知其权益受到损害之日，是指：</w:t>
      </w:r>
      <w:r>
        <w:rPr>
          <w:rFonts w:ascii="仿宋" w:hAnsi="仿宋" w:eastAsia="仿宋"/>
          <w:color w:val="auto"/>
          <w:sz w:val="28"/>
          <w:szCs w:val="28"/>
          <w:highlight w:val="none"/>
        </w:rPr>
        <w:t>对可以质疑的</w:t>
      </w:r>
      <w:r>
        <w:rPr>
          <w:rFonts w:hint="eastAsia" w:ascii="仿宋" w:hAnsi="仿宋" w:eastAsia="仿宋"/>
          <w:color w:val="auto"/>
          <w:sz w:val="28"/>
          <w:szCs w:val="28"/>
          <w:highlight w:val="none"/>
        </w:rPr>
        <w:t>招标</w:t>
      </w:r>
      <w:r>
        <w:rPr>
          <w:rFonts w:ascii="仿宋" w:hAnsi="仿宋" w:eastAsia="仿宋"/>
          <w:color w:val="auto"/>
          <w:sz w:val="28"/>
          <w:szCs w:val="28"/>
          <w:highlight w:val="none"/>
        </w:rPr>
        <w:t>文件提出质疑的，为收到</w:t>
      </w:r>
      <w:r>
        <w:rPr>
          <w:rFonts w:hint="eastAsia" w:ascii="仿宋" w:hAnsi="仿宋" w:eastAsia="仿宋"/>
          <w:color w:val="auto"/>
          <w:sz w:val="28"/>
          <w:szCs w:val="28"/>
          <w:highlight w:val="none"/>
        </w:rPr>
        <w:t>招标</w:t>
      </w:r>
      <w:r>
        <w:rPr>
          <w:rFonts w:ascii="仿宋" w:hAnsi="仿宋" w:eastAsia="仿宋"/>
          <w:color w:val="auto"/>
          <w:sz w:val="28"/>
          <w:szCs w:val="28"/>
          <w:highlight w:val="none"/>
        </w:rPr>
        <w:t>文件之日或者</w:t>
      </w:r>
      <w:r>
        <w:rPr>
          <w:rFonts w:hint="eastAsia" w:ascii="仿宋" w:hAnsi="仿宋" w:eastAsia="仿宋"/>
          <w:color w:val="auto"/>
          <w:sz w:val="28"/>
          <w:szCs w:val="28"/>
          <w:highlight w:val="none"/>
        </w:rPr>
        <w:t>招标</w:t>
      </w:r>
      <w:r>
        <w:rPr>
          <w:rFonts w:ascii="仿宋" w:hAnsi="仿宋" w:eastAsia="仿宋"/>
          <w:color w:val="auto"/>
          <w:sz w:val="28"/>
          <w:szCs w:val="28"/>
          <w:highlight w:val="none"/>
        </w:rPr>
        <w:t>文件公告期限届满之日；对采购过程提出质疑的，为各采购程序环节结束之日；对成交结果提出质疑的，为成交结果公告期限届满之日。</w:t>
      </w:r>
    </w:p>
    <w:p w14:paraId="03EC9EFE">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9.3 提出质疑的供应商（以下简称质疑供应商）应当是参与所质疑项目采购活动的供应商。潜在供应商已依法获取其可质疑的采购文件的，可以对该文件提出质疑。</w:t>
      </w:r>
    </w:p>
    <w:p w14:paraId="7BA97B12">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58FDA276">
      <w:pPr>
        <w:spacing w:line="500" w:lineRule="exact"/>
        <w:ind w:firstLine="56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117F2D1E">
      <w:pPr>
        <w:spacing w:line="500" w:lineRule="exact"/>
        <w:ind w:firstLine="56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，见磋商文件第</w:t>
      </w:r>
      <w:r>
        <w:rPr>
          <w:rFonts w:hint="eastAsia" w:ascii="仿宋" w:hAnsi="仿宋" w:eastAsia="仿宋"/>
          <w:b/>
          <w:color w:val="auto"/>
          <w:sz w:val="28"/>
          <w:szCs w:val="28"/>
          <w:highlight w:val="none"/>
        </w:rPr>
        <w:t>1</w:t>
      </w:r>
      <w:r>
        <w:rPr>
          <w:rFonts w:ascii="仿宋" w:hAnsi="仿宋" w:eastAsia="仿宋"/>
          <w:b/>
          <w:color w:val="auto"/>
          <w:sz w:val="28"/>
          <w:szCs w:val="28"/>
          <w:highlight w:val="none"/>
        </w:rPr>
        <w:t>章。</w:t>
      </w:r>
    </w:p>
    <w:p w14:paraId="074E3536">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以下情形的质疑不予受理：</w:t>
      </w:r>
    </w:p>
    <w:p w14:paraId="7AA6B627">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内容不符合《政府采购质疑和投诉办法》第十二条规定的质疑。</w:t>
      </w:r>
    </w:p>
    <w:p w14:paraId="6BD6EE61">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超出政府采购法定期限的质疑。</w:t>
      </w:r>
    </w:p>
    <w:p w14:paraId="33B8C14E">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9.7.3</w:t>
      </w:r>
      <w:r>
        <w:rPr>
          <w:rFonts w:ascii="仿宋" w:hAnsi="仿宋" w:eastAsia="仿宋"/>
          <w:color w:val="auto"/>
          <w:sz w:val="28"/>
          <w:szCs w:val="28"/>
          <w:highlight w:val="none"/>
        </w:rPr>
        <w:t>未参加磋商活动的供应商或在磋商活动中自身权益未受到损害的供应商所提出的质疑。</w:t>
      </w:r>
    </w:p>
    <w:p w14:paraId="7940DC43">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供应商组成联合体参加磋商活动，联合体中任何一方或多方未按要求签字、盖章、加盖公章的质疑。</w:t>
      </w:r>
    </w:p>
    <w:p w14:paraId="2BCA741F">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供应商提出书面质疑必须有理、有据，不得捏造事实、提供虚假材料进行恶意质疑。否则，一经查实，</w:t>
      </w:r>
      <w:r>
        <w:rPr>
          <w:rFonts w:hint="eastAsia" w:ascii="仿宋" w:hAnsi="仿宋" w:eastAsia="仿宋"/>
          <w:color w:val="auto"/>
          <w:sz w:val="28"/>
          <w:szCs w:val="28"/>
          <w:highlight w:val="none"/>
        </w:rPr>
        <w:t>采购代理机构</w:t>
      </w:r>
      <w:r>
        <w:rPr>
          <w:rFonts w:ascii="仿宋" w:hAnsi="仿宋" w:eastAsia="仿宋"/>
          <w:color w:val="auto"/>
          <w:sz w:val="28"/>
          <w:szCs w:val="28"/>
          <w:highlight w:val="none"/>
        </w:rPr>
        <w:t>有权依据政府采购的有关规定，报请政府采购监管部门对该供应商进行相应的行政处罚和记录该供应商的失信信息。</w:t>
      </w:r>
    </w:p>
    <w:p w14:paraId="0D5060A1">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9.9 质疑函范本</w:t>
      </w:r>
    </w:p>
    <w:p w14:paraId="3B0780EF">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质疑函</w:t>
      </w:r>
    </w:p>
    <w:p w14:paraId="7D0EB65E">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一、质疑供应商基本信息</w:t>
      </w:r>
    </w:p>
    <w:p w14:paraId="33D39B3B">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质疑供应商：</w:t>
      </w:r>
    </w:p>
    <w:p w14:paraId="24DFAD9D">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地址：邮编：</w:t>
      </w:r>
    </w:p>
    <w:p w14:paraId="11783D10">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联系人：联系电话：</w:t>
      </w:r>
    </w:p>
    <w:p w14:paraId="127D6347">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授权代表：联系电话：</w:t>
      </w:r>
    </w:p>
    <w:p w14:paraId="22EB10EB">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地址：邮编：</w:t>
      </w:r>
    </w:p>
    <w:p w14:paraId="31C4141C">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二、质疑项目基本情况</w:t>
      </w:r>
    </w:p>
    <w:p w14:paraId="492E25FF">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质疑项目的名称：</w:t>
      </w:r>
    </w:p>
    <w:p w14:paraId="50A30B12">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质疑项目的编号：包号：</w:t>
      </w:r>
    </w:p>
    <w:p w14:paraId="79123183">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采购人名称：</w:t>
      </w:r>
    </w:p>
    <w:p w14:paraId="11CB3FD6">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采购文件获取日期：</w:t>
      </w:r>
    </w:p>
    <w:p w14:paraId="65C2B4B3">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三、质疑事项具体内容</w:t>
      </w:r>
    </w:p>
    <w:p w14:paraId="00114C1D">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质疑事项1：</w:t>
      </w:r>
    </w:p>
    <w:p w14:paraId="204DE8E1">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事实依据：</w:t>
      </w:r>
    </w:p>
    <w:p w14:paraId="420017F3">
      <w:pPr>
        <w:spacing w:line="360" w:lineRule="auto"/>
        <w:rPr>
          <w:rFonts w:ascii="仿宋" w:hAnsi="仿宋" w:eastAsia="仿宋" w:cs="仿宋"/>
          <w:color w:val="auto"/>
          <w:sz w:val="28"/>
          <w:szCs w:val="28"/>
          <w:highlight w:val="none"/>
        </w:rPr>
      </w:pPr>
    </w:p>
    <w:p w14:paraId="3C443F05">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法律依据：</w:t>
      </w:r>
    </w:p>
    <w:p w14:paraId="65FCBF12">
      <w:pPr>
        <w:spacing w:line="360" w:lineRule="auto"/>
        <w:rPr>
          <w:rFonts w:ascii="仿宋" w:hAnsi="仿宋" w:eastAsia="仿宋" w:cs="仿宋"/>
          <w:color w:val="auto"/>
          <w:sz w:val="28"/>
          <w:szCs w:val="28"/>
          <w:highlight w:val="none"/>
          <w:u w:val="single"/>
        </w:rPr>
      </w:pPr>
    </w:p>
    <w:p w14:paraId="52B95DC7">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质疑事项2</w:t>
      </w:r>
    </w:p>
    <w:p w14:paraId="2168FF65">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p w14:paraId="044EC73B">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四、与质疑事项相关的质疑请求</w:t>
      </w:r>
    </w:p>
    <w:p w14:paraId="60B03230">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请求：</w:t>
      </w:r>
    </w:p>
    <w:p w14:paraId="0F2BD145">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p>
    <w:p w14:paraId="35C2DEAF">
      <w:pPr>
        <w:spacing w:line="500" w:lineRule="exact"/>
        <w:ind w:right="560" w:firstLine="560"/>
        <w:rPr>
          <w:rFonts w:ascii="仿宋" w:hAnsi="仿宋" w:eastAsia="仿宋"/>
          <w:color w:val="auto"/>
          <w:sz w:val="28"/>
          <w:szCs w:val="28"/>
          <w:highlight w:val="none"/>
        </w:rPr>
      </w:pPr>
      <w:r>
        <w:rPr>
          <w:rFonts w:hint="eastAsia" w:ascii="仿宋_GB2312" w:eastAsia="仿宋_GB2312"/>
          <w:color w:val="auto"/>
          <w:sz w:val="28"/>
          <w:szCs w:val="28"/>
          <w:highlight w:val="none"/>
        </w:rPr>
        <w:t>日期：</w:t>
      </w:r>
    </w:p>
    <w:p w14:paraId="4FDA8F33">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9.10 质疑供应商对采购人、采购代理机构的答复不满意，或者采购人、采购代理机构未在规定时间内作出答复的，可以在答复期满后15个工作日内向财政部门提起投诉。</w:t>
      </w:r>
    </w:p>
    <w:p w14:paraId="43E754B3">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9.11 投诉人投诉时,应当提交投诉书和必要的证明材料，并按照被投诉采购人、采购代理机构（以下简称被投诉人）和与投诉事项有关的供应商数量提供投诉书的副本。</w:t>
      </w:r>
    </w:p>
    <w:p w14:paraId="7BF30FDA">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投诉人为自然人的，应当由本人签字；投诉人为法人或者其他组织的，应当由法定代表人、主要负责人，或者其授权代表签字或者盖章，并加盖公章。投诉书内容详见第9.14条投诉书范本。</w:t>
      </w:r>
    </w:p>
    <w:p w14:paraId="79BBF1EB">
      <w:pPr>
        <w:spacing w:line="500" w:lineRule="exact"/>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9.13 投诉人应当将投诉书送达如皋市财政局政府采购管理科（</w:t>
      </w:r>
      <w:r>
        <w:rPr>
          <w:rFonts w:ascii="仿宋" w:hAnsi="仿宋" w:eastAsia="仿宋"/>
          <w:color w:val="auto"/>
          <w:sz w:val="28"/>
          <w:szCs w:val="28"/>
          <w:highlight w:val="none"/>
        </w:rPr>
        <w:t>如皋市解放路199号，行政中心</w:t>
      </w:r>
      <w:r>
        <w:rPr>
          <w:rFonts w:hint="eastAsia" w:ascii="仿宋" w:hAnsi="仿宋" w:eastAsia="仿宋"/>
          <w:color w:val="auto"/>
          <w:sz w:val="28"/>
          <w:szCs w:val="28"/>
          <w:highlight w:val="none"/>
        </w:rPr>
        <w:t>A座814室，联系电话0513-87623860）。</w:t>
      </w:r>
    </w:p>
    <w:p w14:paraId="7BC599D4">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9.14 投诉书范本</w:t>
      </w:r>
    </w:p>
    <w:p w14:paraId="3A1F6A9F">
      <w:pPr>
        <w:jc w:val="center"/>
        <w:rPr>
          <w:rFonts w:ascii="宋体" w:hAnsi="宋体"/>
          <w:b/>
          <w:color w:val="auto"/>
          <w:sz w:val="32"/>
          <w:szCs w:val="32"/>
          <w:highlight w:val="none"/>
        </w:rPr>
      </w:pPr>
      <w:r>
        <w:rPr>
          <w:rFonts w:hint="eastAsia" w:ascii="宋体" w:hAnsi="宋体"/>
          <w:b/>
          <w:color w:val="auto"/>
          <w:sz w:val="32"/>
          <w:szCs w:val="32"/>
          <w:highlight w:val="none"/>
        </w:rPr>
        <w:t>投诉书</w:t>
      </w:r>
    </w:p>
    <w:p w14:paraId="645B0564">
      <w:pPr>
        <w:rPr>
          <w:rFonts w:ascii="黑体" w:hAnsi="黑体" w:eastAsia="黑体"/>
          <w:color w:val="auto"/>
          <w:sz w:val="28"/>
          <w:szCs w:val="28"/>
          <w:highlight w:val="none"/>
        </w:rPr>
      </w:pPr>
      <w:r>
        <w:rPr>
          <w:rFonts w:hint="eastAsia" w:ascii="黑体" w:hAnsi="黑体" w:eastAsia="黑体"/>
          <w:color w:val="auto"/>
          <w:sz w:val="28"/>
          <w:szCs w:val="28"/>
          <w:highlight w:val="none"/>
        </w:rPr>
        <w:t>一、投诉相关主体基本情况</w:t>
      </w:r>
    </w:p>
    <w:p w14:paraId="18F3EFD2">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投诉人：</w:t>
      </w:r>
    </w:p>
    <w:p w14:paraId="4C3A81C2">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地     址：邮编：</w:t>
      </w:r>
    </w:p>
    <w:p w14:paraId="5D6E4561">
      <w:pPr>
        <w:tabs>
          <w:tab w:val="left" w:pos="6510"/>
        </w:tabs>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法定代表人/主要负责人：联系电话：</w:t>
      </w:r>
    </w:p>
    <w:p w14:paraId="306755CC">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授权代表：联系电话：</w:t>
      </w:r>
    </w:p>
    <w:p w14:paraId="366D9A7B">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地     址：邮编：</w:t>
      </w:r>
    </w:p>
    <w:p w14:paraId="22775FC8">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被投诉人1：</w:t>
      </w:r>
    </w:p>
    <w:p w14:paraId="0FEE3397">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地     址：邮编：</w:t>
      </w:r>
    </w:p>
    <w:p w14:paraId="0DA65D23">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联系人：联系电话：</w:t>
      </w:r>
    </w:p>
    <w:p w14:paraId="767700B0">
      <w:pPr>
        <w:rPr>
          <w:rFonts w:ascii="仿宋_GB2312" w:eastAsia="仿宋_GB2312"/>
          <w:color w:val="auto"/>
          <w:sz w:val="28"/>
          <w:szCs w:val="28"/>
          <w:highlight w:val="none"/>
        </w:rPr>
      </w:pPr>
      <w:r>
        <w:rPr>
          <w:rFonts w:hint="eastAsia" w:ascii="仿宋_GB2312" w:eastAsia="仿宋_GB2312"/>
          <w:color w:val="auto"/>
          <w:sz w:val="28"/>
          <w:szCs w:val="28"/>
          <w:highlight w:val="none"/>
        </w:rPr>
        <w:t>被投诉人2</w:t>
      </w:r>
    </w:p>
    <w:p w14:paraId="11DA858F">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w:t>
      </w:r>
    </w:p>
    <w:p w14:paraId="0F420976">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相关供应商：</w:t>
      </w:r>
    </w:p>
    <w:p w14:paraId="51C21E0D">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地     址：邮编：</w:t>
      </w:r>
    </w:p>
    <w:p w14:paraId="2031DFB1">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联系人：联系电话：</w:t>
      </w:r>
    </w:p>
    <w:p w14:paraId="1060AB40">
      <w:pPr>
        <w:rPr>
          <w:rFonts w:ascii="黑体" w:hAnsi="黑体" w:eastAsia="黑体"/>
          <w:color w:val="auto"/>
          <w:sz w:val="28"/>
          <w:szCs w:val="28"/>
          <w:highlight w:val="none"/>
        </w:rPr>
      </w:pPr>
      <w:r>
        <w:rPr>
          <w:rFonts w:hint="eastAsia" w:ascii="黑体" w:hAnsi="黑体" w:eastAsia="黑体"/>
          <w:color w:val="auto"/>
          <w:sz w:val="28"/>
          <w:szCs w:val="28"/>
          <w:highlight w:val="none"/>
        </w:rPr>
        <w:t>二、投诉项目基本情况</w:t>
      </w:r>
    </w:p>
    <w:p w14:paraId="47E6370E">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采购项目名称：</w:t>
      </w:r>
    </w:p>
    <w:p w14:paraId="696846C9">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采购项目编号：包号：</w:t>
      </w:r>
    </w:p>
    <w:p w14:paraId="2548127F">
      <w:pPr>
        <w:rPr>
          <w:rFonts w:ascii="仿宋_GB2312" w:eastAsia="仿宋_GB2312"/>
          <w:color w:val="auto"/>
          <w:sz w:val="28"/>
          <w:szCs w:val="28"/>
          <w:highlight w:val="none"/>
        </w:rPr>
      </w:pPr>
      <w:r>
        <w:rPr>
          <w:rFonts w:hint="eastAsia" w:ascii="仿宋_GB2312" w:eastAsia="仿宋_GB2312"/>
          <w:color w:val="auto"/>
          <w:sz w:val="28"/>
          <w:szCs w:val="28"/>
          <w:highlight w:val="none"/>
        </w:rPr>
        <w:t>采购人名称：</w:t>
      </w:r>
    </w:p>
    <w:p w14:paraId="619C5D48">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代理机构名称：</w:t>
      </w:r>
    </w:p>
    <w:p w14:paraId="74F889FD">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采购文件公告: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公告期限：</w:t>
      </w:r>
    </w:p>
    <w:p w14:paraId="4CF2251E">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采购结果公告: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公告期限：</w:t>
      </w:r>
    </w:p>
    <w:p w14:paraId="092539FE">
      <w:pPr>
        <w:rPr>
          <w:rFonts w:ascii="黑体" w:hAnsi="黑体" w:eastAsia="黑体"/>
          <w:color w:val="auto"/>
          <w:sz w:val="28"/>
          <w:szCs w:val="28"/>
          <w:highlight w:val="none"/>
        </w:rPr>
      </w:pPr>
      <w:r>
        <w:rPr>
          <w:rFonts w:hint="eastAsia" w:ascii="黑体" w:hAnsi="黑体" w:eastAsia="黑体"/>
          <w:color w:val="auto"/>
          <w:sz w:val="28"/>
          <w:szCs w:val="28"/>
          <w:highlight w:val="none"/>
        </w:rPr>
        <w:t>三、质疑基本情况</w:t>
      </w:r>
    </w:p>
    <w:p w14:paraId="4F04E257">
      <w:pPr>
        <w:ind w:firstLine="560"/>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投诉人于年月日,向提出质疑，质疑事项为：</w:t>
      </w:r>
    </w:p>
    <w:p w14:paraId="15011D92">
      <w:pPr>
        <w:rPr>
          <w:rFonts w:ascii="仿宋_GB2312" w:eastAsia="仿宋_GB2312"/>
          <w:color w:val="auto"/>
          <w:sz w:val="28"/>
          <w:szCs w:val="28"/>
          <w:highlight w:val="none"/>
          <w:u w:val="single"/>
        </w:rPr>
      </w:pPr>
    </w:p>
    <w:p w14:paraId="0CBB1CC3">
      <w:pPr>
        <w:ind w:firstLine="420"/>
        <w:rPr>
          <w:rFonts w:ascii="仿宋_GB2312" w:eastAsia="仿宋_GB2312"/>
          <w:color w:val="auto"/>
          <w:sz w:val="28"/>
          <w:szCs w:val="28"/>
          <w:highlight w:val="none"/>
        </w:rPr>
      </w:pPr>
      <w:r>
        <w:rPr>
          <w:rFonts w:hint="eastAsia" w:ascii="仿宋_GB2312" w:eastAsia="仿宋_GB2312"/>
          <w:color w:val="auto"/>
          <w:sz w:val="28"/>
          <w:szCs w:val="28"/>
          <w:highlight w:val="none"/>
          <w:u w:val="single"/>
        </w:rPr>
        <w:t>采购人/代理机构</w:t>
      </w:r>
      <w:r>
        <w:rPr>
          <w:rFonts w:hint="eastAsia" w:ascii="仿宋_GB2312" w:eastAsia="仿宋_GB2312"/>
          <w:color w:val="auto"/>
          <w:sz w:val="28"/>
          <w:szCs w:val="28"/>
          <w:highlight w:val="none"/>
        </w:rPr>
        <w:t>于年月日,就质疑事项作出了答复/没有在法定期限内作出答复。</w:t>
      </w:r>
    </w:p>
    <w:p w14:paraId="52C32A0D">
      <w:pPr>
        <w:rPr>
          <w:rFonts w:ascii="黑体" w:hAnsi="黑体" w:eastAsia="黑体"/>
          <w:color w:val="auto"/>
          <w:sz w:val="28"/>
          <w:szCs w:val="28"/>
          <w:highlight w:val="none"/>
        </w:rPr>
      </w:pPr>
      <w:r>
        <w:rPr>
          <w:rFonts w:hint="eastAsia" w:ascii="黑体" w:hAnsi="黑体" w:eastAsia="黑体"/>
          <w:color w:val="auto"/>
          <w:sz w:val="28"/>
          <w:szCs w:val="28"/>
          <w:highlight w:val="none"/>
        </w:rPr>
        <w:t>四、投诉事项具体内容</w:t>
      </w:r>
    </w:p>
    <w:p w14:paraId="29416E4C">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投诉事项 1：</w:t>
      </w:r>
    </w:p>
    <w:p w14:paraId="5F2197F7">
      <w:pPr>
        <w:rPr>
          <w:rFonts w:ascii="仿宋_GB2312" w:eastAsia="仿宋_GB2312"/>
          <w:color w:val="auto"/>
          <w:sz w:val="28"/>
          <w:szCs w:val="28"/>
          <w:highlight w:val="none"/>
        </w:rPr>
      </w:pPr>
      <w:r>
        <w:rPr>
          <w:rFonts w:hint="eastAsia" w:ascii="仿宋_GB2312" w:eastAsia="仿宋_GB2312"/>
          <w:color w:val="auto"/>
          <w:sz w:val="28"/>
          <w:szCs w:val="28"/>
          <w:highlight w:val="none"/>
        </w:rPr>
        <w:t>事实依据：</w:t>
      </w:r>
    </w:p>
    <w:p w14:paraId="6B105BF1">
      <w:pPr>
        <w:rPr>
          <w:rFonts w:ascii="仿宋_GB2312" w:eastAsia="仿宋_GB2312"/>
          <w:color w:val="auto"/>
          <w:sz w:val="28"/>
          <w:szCs w:val="28"/>
          <w:highlight w:val="none"/>
          <w:u w:val="single"/>
        </w:rPr>
      </w:pPr>
    </w:p>
    <w:p w14:paraId="38794594">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法律依据：</w:t>
      </w:r>
    </w:p>
    <w:p w14:paraId="435EF6BF">
      <w:pPr>
        <w:rPr>
          <w:rFonts w:ascii="仿宋_GB2312" w:eastAsia="仿宋_GB2312"/>
          <w:color w:val="auto"/>
          <w:sz w:val="28"/>
          <w:szCs w:val="28"/>
          <w:highlight w:val="none"/>
          <w:u w:val="single"/>
        </w:rPr>
      </w:pPr>
    </w:p>
    <w:p w14:paraId="5A5257E8">
      <w:pPr>
        <w:rPr>
          <w:rFonts w:ascii="仿宋_GB2312" w:eastAsia="仿宋_GB2312"/>
          <w:color w:val="auto"/>
          <w:sz w:val="28"/>
          <w:szCs w:val="28"/>
          <w:highlight w:val="none"/>
        </w:rPr>
      </w:pPr>
      <w:r>
        <w:rPr>
          <w:rFonts w:hint="eastAsia" w:ascii="仿宋_GB2312" w:eastAsia="仿宋_GB2312"/>
          <w:color w:val="auto"/>
          <w:sz w:val="28"/>
          <w:szCs w:val="28"/>
          <w:highlight w:val="none"/>
        </w:rPr>
        <w:t>投诉事项2</w:t>
      </w:r>
    </w:p>
    <w:p w14:paraId="16C9B6E6">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w:t>
      </w:r>
    </w:p>
    <w:p w14:paraId="6ACE375D">
      <w:pPr>
        <w:rPr>
          <w:rFonts w:ascii="黑体" w:hAnsi="黑体" w:eastAsia="黑体"/>
          <w:color w:val="auto"/>
          <w:sz w:val="28"/>
          <w:szCs w:val="28"/>
          <w:highlight w:val="none"/>
        </w:rPr>
      </w:pPr>
      <w:r>
        <w:rPr>
          <w:rFonts w:hint="eastAsia" w:ascii="黑体" w:hAnsi="黑体" w:eastAsia="黑体"/>
          <w:color w:val="auto"/>
          <w:sz w:val="28"/>
          <w:szCs w:val="28"/>
          <w:highlight w:val="none"/>
        </w:rPr>
        <w:t>五、与投诉事项相关的投诉请求</w:t>
      </w:r>
    </w:p>
    <w:p w14:paraId="157A337E">
      <w:pPr>
        <w:rPr>
          <w:rFonts w:ascii="仿宋_GB2312" w:eastAsia="仿宋_GB2312"/>
          <w:color w:val="auto"/>
          <w:sz w:val="28"/>
          <w:szCs w:val="28"/>
          <w:highlight w:val="none"/>
        </w:rPr>
      </w:pPr>
      <w:r>
        <w:rPr>
          <w:rFonts w:hint="eastAsia" w:ascii="仿宋_GB2312" w:eastAsia="仿宋_GB2312"/>
          <w:color w:val="auto"/>
          <w:sz w:val="28"/>
          <w:szCs w:val="28"/>
          <w:highlight w:val="none"/>
        </w:rPr>
        <w:t>请求：</w:t>
      </w:r>
    </w:p>
    <w:p w14:paraId="6F4F47AD">
      <w:pPr>
        <w:rPr>
          <w:rFonts w:ascii="仿宋_GB2312" w:eastAsia="仿宋_GB2312"/>
          <w:color w:val="auto"/>
          <w:sz w:val="28"/>
          <w:szCs w:val="28"/>
          <w:highlight w:val="none"/>
          <w:u w:val="single"/>
        </w:rPr>
      </w:pPr>
    </w:p>
    <w:p w14:paraId="1C737F40">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p>
    <w:p w14:paraId="009FE552">
      <w:pPr>
        <w:spacing w:line="500" w:lineRule="exact"/>
        <w:ind w:firstLine="560"/>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    </w:t>
      </w:r>
    </w:p>
    <w:p w14:paraId="4C90C04D">
      <w:pPr>
        <w:spacing w:line="500" w:lineRule="exact"/>
        <w:ind w:firstLine="560"/>
        <w:jc w:val="left"/>
        <w:rPr>
          <w:rFonts w:ascii="仿宋" w:hAnsi="仿宋" w:eastAsia="仿宋"/>
          <w:color w:val="auto"/>
          <w:sz w:val="28"/>
          <w:szCs w:val="28"/>
          <w:highlight w:val="none"/>
        </w:rPr>
      </w:pPr>
      <w:r>
        <w:rPr>
          <w:rFonts w:hint="eastAsia" w:ascii="黑体" w:hAnsi="黑体" w:eastAsia="黑体"/>
          <w:color w:val="auto"/>
          <w:sz w:val="28"/>
          <w:szCs w:val="28"/>
          <w:highlight w:val="none"/>
        </w:rPr>
        <w:t>10. 政府采购合同信用融资扶持政策</w:t>
      </w:r>
    </w:p>
    <w:p w14:paraId="3D749C9C">
      <w:pPr>
        <w:spacing w:line="500" w:lineRule="exact"/>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4DECCF87">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10.2 成交供应商如需获得合同信用融资支持，可凭政府采购合同办理“政采贷”融资贷款，详情请见南通市政府采购网 “易企服”综合服务平台-金融产品全周期-贷款产品专栏。</w:t>
      </w:r>
    </w:p>
    <w:p w14:paraId="5751C151">
      <w:pPr>
        <w:spacing w:line="500" w:lineRule="exact"/>
        <w:ind w:firstLine="560"/>
        <w:rPr>
          <w:rFonts w:ascii="黑体" w:hAnsi="黑体" w:eastAsia="黑体"/>
          <w:color w:val="auto"/>
          <w:sz w:val="28"/>
          <w:szCs w:val="28"/>
          <w:highlight w:val="none"/>
        </w:rPr>
      </w:pPr>
      <w:r>
        <w:rPr>
          <w:rFonts w:hint="eastAsia" w:ascii="黑体" w:hAnsi="黑体" w:eastAsia="黑体"/>
          <w:color w:val="auto"/>
          <w:sz w:val="28"/>
          <w:szCs w:val="28"/>
          <w:highlight w:val="none"/>
        </w:rPr>
        <w:t>11. 采购代理服务费</w:t>
      </w:r>
    </w:p>
    <w:bookmarkEnd w:id="4"/>
    <w:p w14:paraId="6C1F24F9">
      <w:pPr>
        <w:spacing w:line="500" w:lineRule="exact"/>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11.1  采购代理服务费收取标准：采购代理服务费收取标准：采购代理服务费以成交价为基数，采用差额定率累进法（50万元（含）以下部分，费率为1.6%；50万元~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p>
    <w:p w14:paraId="19AF4086">
      <w:pPr>
        <w:spacing w:line="500" w:lineRule="exact"/>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11.2采购代理服务费由中标供应商支付。成交供应商自成交结果公告发布之日起五个工作日内，向采购代理机构支付服务费。</w:t>
      </w:r>
    </w:p>
    <w:p w14:paraId="430ADEEF">
      <w:pPr>
        <w:spacing w:line="500" w:lineRule="exact"/>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11.3 采购代理机构账户信息：</w:t>
      </w:r>
    </w:p>
    <w:p w14:paraId="28F05097">
      <w:pPr>
        <w:spacing w:line="500" w:lineRule="exact"/>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（1）收款单位名称：如皋市城建工程项目管理有限公司</w:t>
      </w:r>
    </w:p>
    <w:p w14:paraId="5A1CA924">
      <w:pPr>
        <w:spacing w:line="500" w:lineRule="exact"/>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（2）账户号码：32001647264059668888</w:t>
      </w:r>
    </w:p>
    <w:p w14:paraId="4F6A968B">
      <w:pPr>
        <w:spacing w:line="500" w:lineRule="exact"/>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（3）开户行：中国建设银行股份有限公司如皋城中支行</w:t>
      </w:r>
    </w:p>
    <w:p w14:paraId="2A433F7B">
      <w:pPr>
        <w:spacing w:line="500" w:lineRule="exact"/>
        <w:ind w:firstLine="560"/>
        <w:jc w:val="left"/>
        <w:rPr>
          <w:rFonts w:ascii="仿宋" w:hAnsi="仿宋" w:eastAsia="仿宋"/>
          <w:color w:val="auto"/>
          <w:sz w:val="28"/>
          <w:szCs w:val="28"/>
          <w:highlight w:val="none"/>
        </w:rPr>
      </w:pPr>
    </w:p>
    <w:p w14:paraId="22854EBF">
      <w:pPr>
        <w:pStyle w:val="14"/>
        <w:spacing w:line="240" w:lineRule="auto"/>
        <w:ind w:firstLine="0"/>
        <w:jc w:val="center"/>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br w:type="page" w:clear="all"/>
      </w:r>
      <w:r>
        <w:rPr>
          <w:rFonts w:hint="eastAsia" w:ascii="方正小标宋简体" w:eastAsia="方正小标宋简体"/>
          <w:bCs/>
          <w:color w:val="auto"/>
          <w:sz w:val="32"/>
          <w:szCs w:val="32"/>
          <w:highlight w:val="none"/>
        </w:rPr>
        <w:t>第3章 采购需求</w:t>
      </w:r>
    </w:p>
    <w:p w14:paraId="787E715E">
      <w:pPr>
        <w:spacing w:line="500" w:lineRule="exact"/>
        <w:ind w:firstLine="562"/>
        <w:jc w:val="center"/>
        <w:rPr>
          <w:rFonts w:ascii="仿宋" w:hAnsi="仿宋" w:eastAsia="仿宋"/>
          <w:b/>
          <w:bCs/>
          <w:color w:val="auto"/>
          <w:sz w:val="28"/>
          <w:szCs w:val="28"/>
          <w:highlight w:val="none"/>
        </w:rPr>
      </w:pPr>
      <w:r>
        <w:rPr>
          <w:rFonts w:ascii="仿宋" w:hAnsi="仿宋" w:eastAsia="仿宋"/>
          <w:b/>
          <w:bCs/>
          <w:color w:val="auto"/>
          <w:sz w:val="28"/>
          <w:szCs w:val="28"/>
          <w:highlight w:val="none"/>
        </w:rPr>
        <w:t>供应商在制作</w:t>
      </w:r>
      <w:r>
        <w:rPr>
          <w:rFonts w:hint="eastAsia" w:ascii="仿宋" w:hAnsi="仿宋" w:eastAsia="仿宋"/>
          <w:b/>
          <w:bCs/>
          <w:color w:val="auto"/>
          <w:sz w:val="28"/>
          <w:szCs w:val="28"/>
          <w:highlight w:val="none"/>
        </w:rPr>
        <w:t>响应</w:t>
      </w:r>
      <w:r>
        <w:rPr>
          <w:rFonts w:ascii="仿宋" w:hAnsi="仿宋" w:eastAsia="仿宋"/>
          <w:b/>
          <w:bCs/>
          <w:color w:val="auto"/>
          <w:sz w:val="28"/>
          <w:szCs w:val="28"/>
          <w:highlight w:val="none"/>
        </w:rPr>
        <w:t>文件时仔细研究</w:t>
      </w:r>
      <w:r>
        <w:rPr>
          <w:rFonts w:hint="eastAsia" w:ascii="仿宋" w:hAnsi="仿宋" w:eastAsia="仿宋"/>
          <w:b/>
          <w:bCs/>
          <w:color w:val="auto"/>
          <w:sz w:val="28"/>
          <w:szCs w:val="28"/>
          <w:highlight w:val="none"/>
        </w:rPr>
        <w:t>采购</w:t>
      </w:r>
      <w:r>
        <w:rPr>
          <w:rFonts w:ascii="仿宋" w:hAnsi="仿宋" w:eastAsia="仿宋"/>
          <w:b/>
          <w:bCs/>
          <w:color w:val="auto"/>
          <w:sz w:val="28"/>
          <w:szCs w:val="28"/>
          <w:highlight w:val="none"/>
        </w:rPr>
        <w:t>需求说明。</w:t>
      </w:r>
      <w:r>
        <w:rPr>
          <w:rFonts w:hint="eastAsia" w:ascii="仿宋" w:hAnsi="仿宋" w:eastAsia="仿宋"/>
          <w:b/>
          <w:bCs/>
          <w:color w:val="auto"/>
          <w:sz w:val="28"/>
          <w:szCs w:val="28"/>
          <w:highlight w:val="none"/>
        </w:rPr>
        <w:t>采购</w:t>
      </w:r>
      <w:r>
        <w:rPr>
          <w:rFonts w:ascii="仿宋" w:hAnsi="仿宋" w:eastAsia="仿宋"/>
          <w:b/>
          <w:bCs/>
          <w:color w:val="auto"/>
          <w:sz w:val="28"/>
          <w:szCs w:val="28"/>
          <w:highlight w:val="none"/>
        </w:rPr>
        <w:t>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2D34E5C8">
      <w:pPr>
        <w:pStyle w:val="14"/>
        <w:spacing w:line="240" w:lineRule="auto"/>
        <w:ind w:firstLine="562"/>
        <w:rPr>
          <w:rFonts w:ascii="方正小标宋简体" w:eastAsia="方正小标宋简体"/>
          <w:bCs/>
          <w:color w:val="auto"/>
          <w:sz w:val="32"/>
          <w:szCs w:val="32"/>
          <w:highlight w:val="none"/>
        </w:rPr>
      </w:pPr>
      <w:r>
        <w:rPr>
          <w:rFonts w:hint="eastAsia" w:ascii="仿宋" w:hAnsi="仿宋" w:eastAsia="仿宋"/>
          <w:b/>
          <w:bCs/>
          <w:color w:val="auto"/>
          <w:sz w:val="28"/>
          <w:szCs w:val="28"/>
          <w:highlight w:val="none"/>
        </w:rPr>
        <w:t>供</w:t>
      </w:r>
      <w:r>
        <w:rPr>
          <w:rFonts w:ascii="仿宋" w:hAnsi="仿宋" w:eastAsia="仿宋"/>
          <w:b/>
          <w:bCs/>
          <w:color w:val="auto"/>
          <w:sz w:val="28"/>
          <w:szCs w:val="28"/>
          <w:highlight w:val="none"/>
        </w:rPr>
        <w:t>应商不能简单照搬照抄</w:t>
      </w:r>
      <w:r>
        <w:rPr>
          <w:rFonts w:hint="eastAsia" w:ascii="仿宋" w:hAnsi="仿宋" w:eastAsia="仿宋"/>
          <w:b/>
          <w:bCs/>
          <w:color w:val="auto"/>
          <w:sz w:val="28"/>
          <w:szCs w:val="28"/>
          <w:highlight w:val="none"/>
        </w:rPr>
        <w:t>磋商</w:t>
      </w:r>
      <w:r>
        <w:rPr>
          <w:rFonts w:ascii="仿宋" w:hAnsi="仿宋" w:eastAsia="仿宋"/>
          <w:b/>
          <w:bCs/>
          <w:color w:val="auto"/>
          <w:sz w:val="28"/>
          <w:szCs w:val="28"/>
          <w:highlight w:val="none"/>
        </w:rPr>
        <w:t>文件项目需求说明中的技术、商务要求，必须作实事求是的响应。如响应供应商提供的货物和服务同</w:t>
      </w:r>
      <w:r>
        <w:rPr>
          <w:rFonts w:hint="eastAsia" w:ascii="仿宋" w:hAnsi="仿宋" w:eastAsia="仿宋"/>
          <w:b/>
          <w:bCs/>
          <w:color w:val="auto"/>
          <w:sz w:val="28"/>
          <w:szCs w:val="28"/>
          <w:highlight w:val="none"/>
        </w:rPr>
        <w:t>采购人</w:t>
      </w:r>
      <w:r>
        <w:rPr>
          <w:rFonts w:ascii="仿宋" w:hAnsi="仿宋" w:eastAsia="仿宋"/>
          <w:b/>
          <w:bCs/>
          <w:color w:val="auto"/>
          <w:sz w:val="28"/>
          <w:szCs w:val="28"/>
          <w:highlight w:val="none"/>
        </w:rPr>
        <w:t>提出的项目需求说明中的技术、商务要求不同的，必须在《商务部分正负偏离表》和《技术部分正负偏离表》上明示</w:t>
      </w:r>
      <w:r>
        <w:rPr>
          <w:rFonts w:hint="eastAsia" w:ascii="仿宋" w:hAnsi="仿宋" w:eastAsia="仿宋"/>
          <w:b/>
          <w:bCs/>
          <w:color w:val="auto"/>
          <w:sz w:val="28"/>
          <w:szCs w:val="28"/>
          <w:highlight w:val="none"/>
        </w:rPr>
        <w:t>。</w:t>
      </w:r>
    </w:p>
    <w:p w14:paraId="0F238E6D">
      <w:pPr>
        <w:spacing w:line="500" w:lineRule="exact"/>
        <w:ind w:firstLine="560"/>
        <w:rPr>
          <w:rFonts w:ascii="黑体" w:hAnsi="黑体" w:eastAsia="黑体"/>
          <w:color w:val="auto"/>
          <w:sz w:val="28"/>
          <w:szCs w:val="28"/>
          <w:highlight w:val="none"/>
        </w:rPr>
      </w:pPr>
      <w:r>
        <w:rPr>
          <w:rFonts w:hint="eastAsia" w:ascii="黑体" w:hAnsi="黑体" w:eastAsia="黑体"/>
          <w:color w:val="auto"/>
          <w:sz w:val="28"/>
          <w:szCs w:val="28"/>
          <w:highlight w:val="none"/>
        </w:rPr>
        <w:t>一、项目简介</w:t>
      </w:r>
    </w:p>
    <w:p w14:paraId="0BB51197">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如皋市高新区高层建筑质量安全鉴定和消防安全评估项目，按南通市高层隐患专班办公室要求,高新区区内高层建筑需完善安全隐</w:t>
      </w:r>
      <w:r>
        <w:rPr>
          <w:rFonts w:hint="eastAsia" w:ascii="仿宋" w:hAnsi="仿宋" w:eastAsia="仿宋"/>
          <w:color w:val="auto"/>
          <w:sz w:val="28"/>
          <w:szCs w:val="28"/>
          <w:highlight w:val="none"/>
          <w:lang w:val="en-US" w:eastAsia="zh-CN"/>
        </w:rPr>
        <w:t>患</w:t>
      </w:r>
      <w:r>
        <w:rPr>
          <w:rFonts w:hint="eastAsia" w:ascii="仿宋" w:hAnsi="仿宋" w:eastAsia="仿宋"/>
          <w:color w:val="auto"/>
          <w:sz w:val="28"/>
          <w:szCs w:val="28"/>
          <w:highlight w:val="none"/>
        </w:rPr>
        <w:t>鉴定及消防评估,建筑质量安全鉴定58.3万平米，消防安全评估123.8万平米。</w:t>
      </w:r>
    </w:p>
    <w:p w14:paraId="0EACD895">
      <w:pPr>
        <w:spacing w:line="500" w:lineRule="exact"/>
        <w:ind w:firstLine="560" w:firstLineChars="200"/>
        <w:outlineLvl w:val="1"/>
        <w:rPr>
          <w:rFonts w:ascii="仿宋" w:hAnsi="仿宋" w:eastAsia="仿宋" w:cs="仿宋"/>
          <w:bCs/>
          <w:color w:val="auto"/>
          <w:sz w:val="28"/>
          <w:szCs w:val="28"/>
          <w:highlight w:val="none"/>
        </w:rPr>
      </w:pPr>
      <w:bookmarkStart w:id="35" w:name="_Toc7897"/>
      <w:bookmarkStart w:id="36" w:name="_Toc30709"/>
      <w:r>
        <w:rPr>
          <w:rFonts w:hint="eastAsia" w:ascii="黑体" w:hAnsi="黑体" w:eastAsia="黑体"/>
          <w:color w:val="auto"/>
          <w:sz w:val="28"/>
          <w:szCs w:val="28"/>
          <w:highlight w:val="none"/>
        </w:rPr>
        <w:t>二、采购内容</w:t>
      </w:r>
      <w:bookmarkEnd w:id="35"/>
      <w:bookmarkEnd w:id="36"/>
    </w:p>
    <w:p w14:paraId="2F2494DA">
      <w:pPr>
        <w:spacing w:line="500" w:lineRule="exact"/>
        <w:ind w:firstLine="560" w:firstLineChars="200"/>
        <w:rPr>
          <w:rFonts w:ascii="仿宋" w:hAnsi="仿宋" w:eastAsia="仿宋"/>
          <w:color w:val="auto"/>
          <w:sz w:val="28"/>
          <w:szCs w:val="28"/>
          <w:highlight w:val="none"/>
        </w:rPr>
      </w:pPr>
      <w:r>
        <w:rPr>
          <w:rFonts w:hint="eastAsia" w:ascii="仿宋" w:hAnsi="仿宋" w:eastAsia="仿宋" w:cs="仿宋"/>
          <w:bCs/>
          <w:color w:val="auto"/>
          <w:sz w:val="28"/>
          <w:szCs w:val="28"/>
          <w:highlight w:val="none"/>
        </w:rPr>
        <w:t>（一）</w:t>
      </w:r>
      <w:r>
        <w:rPr>
          <w:rFonts w:hint="eastAsia" w:ascii="仿宋" w:hAnsi="仿宋" w:eastAsia="仿宋"/>
          <w:color w:val="auto"/>
          <w:sz w:val="28"/>
          <w:szCs w:val="28"/>
          <w:highlight w:val="none"/>
        </w:rPr>
        <w:t>高层建筑质量安全鉴定包含但不限于：</w:t>
      </w:r>
    </w:p>
    <w:p w14:paraId="1273402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依据《建筑结构检测技术标准》、《砌体工程现场检测技术标准》等相关规范要求对该工程进行周边环境调查、地基基础检查、房屋整体倾斜测量、结构构件变形测量、结构体系调查、结构损伤检测、轴线距离测量、构件截面尺寸测量、混凝土强度检测、砖块强度检测、砌筑砂浆检测、围护结构检查；</w:t>
      </w:r>
    </w:p>
    <w:p w14:paraId="5E755837">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2.根据收集的检测数据以及《砌体结构设计规范》、《建筑结构荷载规范》等相关规范的要求，对该工程所检房屋进行结构建模计算；</w:t>
      </w:r>
    </w:p>
    <w:p w14:paraId="7C73B35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3.综合现场检测及建模计算结果，依据《可靠性鉴定标准》，记录检查情况并列明房屋质量安全问题、出具具体整改意见和措施，指导建设单位制定房屋安全隐患整改方案，待建设单位整改完成，房屋质量安全等级达到A</w:t>
      </w:r>
      <w:r>
        <w:rPr>
          <w:rFonts w:ascii="仿宋" w:hAnsi="仿宋" w:eastAsia="仿宋"/>
          <w:color w:val="auto"/>
          <w:sz w:val="28"/>
          <w:szCs w:val="28"/>
          <w:highlight w:val="none"/>
        </w:rPr>
        <w:t>/</w:t>
      </w:r>
      <w:r>
        <w:rPr>
          <w:rFonts w:hint="eastAsia" w:ascii="仿宋" w:hAnsi="仿宋" w:eastAsia="仿宋"/>
          <w:color w:val="auto"/>
          <w:sz w:val="28"/>
          <w:szCs w:val="28"/>
          <w:highlight w:val="none"/>
        </w:rPr>
        <w:t>B级后，出具房屋安全性鉴定报告。其服务成果必须达到国家相关服务标准，服务过程中不得减少国家相关服务规定中所要求的服务内容。</w:t>
      </w:r>
    </w:p>
    <w:p w14:paraId="3DF0AEC9">
      <w:pPr>
        <w:adjustRightInd w:val="0"/>
        <w:snapToGrid w:val="0"/>
        <w:spacing w:line="480" w:lineRule="exact"/>
        <w:ind w:firstLine="560" w:firstLineChars="200"/>
        <w:rPr>
          <w:rFonts w:ascii="仿宋" w:hAnsi="仿宋" w:eastAsia="仿宋"/>
          <w:b/>
          <w:bCs/>
          <w:color w:val="auto"/>
          <w:sz w:val="28"/>
          <w:szCs w:val="28"/>
          <w:highlight w:val="none"/>
        </w:rPr>
      </w:pPr>
      <w:r>
        <w:rPr>
          <w:rFonts w:hint="eastAsia" w:ascii="仿宋" w:hAnsi="仿宋" w:eastAsia="仿宋" w:cs="仿宋"/>
          <w:bCs/>
          <w:color w:val="auto"/>
          <w:sz w:val="28"/>
          <w:szCs w:val="28"/>
          <w:highlight w:val="none"/>
        </w:rPr>
        <w:t>（二）</w:t>
      </w:r>
      <w:r>
        <w:rPr>
          <w:rFonts w:hint="eastAsia" w:ascii="仿宋" w:hAnsi="仿宋" w:eastAsia="仿宋"/>
          <w:b/>
          <w:bCs/>
          <w:color w:val="auto"/>
          <w:sz w:val="28"/>
          <w:szCs w:val="28"/>
          <w:highlight w:val="none"/>
        </w:rPr>
        <w:t>消防安全评估服务内容及要求</w:t>
      </w:r>
    </w:p>
    <w:p w14:paraId="3553BBB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依据国家及地方消防安全相关法律法规、标准规范开展评估工作。通过对该工程的建筑防火、建筑消防设施和消防安全管理等方面进行检查,记录检查情况并列明消防安全问题、火灾隐患的整改意见和完善消防管理的措施,指导单位制定火灾隐患整改方案, 待建设单位整改合格后，出具《消防安全评估报告》。</w:t>
      </w:r>
    </w:p>
    <w:p w14:paraId="1E2634B4">
      <w:pPr>
        <w:spacing w:line="500" w:lineRule="exact"/>
        <w:ind w:firstLine="560" w:firstLineChars="20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（三）响应供应商成交后须在成交通知书发出之日起7个工作日内到如皋市住房和城乡建设局成功进行备案，备案成功后方可履行签订合同，否则将取消成交资格。须提供承诺函，格式自拟。</w:t>
      </w:r>
    </w:p>
    <w:p w14:paraId="6441D7D6">
      <w:pPr>
        <w:spacing w:line="500" w:lineRule="exact"/>
        <w:ind w:firstLine="560" w:firstLineChars="200"/>
        <w:outlineLvl w:val="1"/>
        <w:rPr>
          <w:rFonts w:ascii="黑体" w:hAnsi="黑体" w:eastAsia="黑体"/>
          <w:color w:val="auto"/>
          <w:sz w:val="28"/>
          <w:szCs w:val="28"/>
          <w:highlight w:val="none"/>
        </w:rPr>
      </w:pPr>
      <w:bookmarkStart w:id="37" w:name="_Toc6712"/>
      <w:r>
        <w:rPr>
          <w:rFonts w:hint="eastAsia" w:ascii="黑体" w:hAnsi="黑体" w:eastAsia="黑体"/>
          <w:color w:val="auto"/>
          <w:sz w:val="28"/>
          <w:szCs w:val="28"/>
          <w:highlight w:val="none"/>
        </w:rPr>
        <w:t>三、服务要求</w:t>
      </w:r>
      <w:bookmarkEnd w:id="37"/>
    </w:p>
    <w:p w14:paraId="09656093">
      <w:pPr>
        <w:pStyle w:val="5"/>
        <w:spacing w:after="0" w:line="500" w:lineRule="exact"/>
        <w:ind w:firstLine="560" w:firstLineChars="20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（一）成交供应商根据国家相关规范和采购人要求，完成</w:t>
      </w:r>
      <w:r>
        <w:rPr>
          <w:rFonts w:hint="eastAsia" w:ascii="仿宋" w:hAnsi="仿宋" w:eastAsia="仿宋"/>
          <w:color w:val="auto"/>
          <w:sz w:val="28"/>
          <w:szCs w:val="28"/>
          <w:highlight w:val="none"/>
        </w:rPr>
        <w:t>高层建筑质量安全鉴定和消防安全评估</w:t>
      </w:r>
      <w:r>
        <w:rPr>
          <w:rFonts w:hint="eastAsia" w:ascii="仿宋" w:hAnsi="仿宋" w:eastAsia="仿宋" w:cs="仿宋"/>
          <w:bCs/>
          <w:color w:val="auto"/>
          <w:sz w:val="28"/>
          <w:szCs w:val="28"/>
          <w:highlight w:val="none"/>
        </w:rPr>
        <w:t>，形成《房屋安全鉴定报告》，出具《消防安全评估报告》。</w:t>
      </w:r>
    </w:p>
    <w:p w14:paraId="6751EA85">
      <w:pPr>
        <w:pStyle w:val="5"/>
        <w:spacing w:after="0" w:line="500" w:lineRule="exact"/>
        <w:ind w:firstLine="560" w:firstLineChars="20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（二）本项目所涉及的高空作业或其它特种作业，响应供应商拟安排的相关专业人员须具有相应的资格证或操作证。须提供相关证书复印件。</w:t>
      </w:r>
    </w:p>
    <w:p w14:paraId="6C218A2A">
      <w:pPr>
        <w:pStyle w:val="5"/>
        <w:spacing w:after="0" w:line="500" w:lineRule="exact"/>
        <w:ind w:firstLine="560" w:firstLineChars="20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（三）本项目所涉及的器械（如吊篮、脚手架等），成交后签订合同前供应商须提供相应的检验合格证、方案安全论证等资料；</w:t>
      </w:r>
    </w:p>
    <w:p w14:paraId="6D4101CE">
      <w:pPr>
        <w:pStyle w:val="5"/>
        <w:spacing w:after="0"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bCs/>
          <w:color w:val="auto"/>
          <w:sz w:val="28"/>
          <w:szCs w:val="28"/>
          <w:highlight w:val="none"/>
        </w:rPr>
        <w:t>（四）供应商须派驻专职安全员，成交后签订合同前供应商须提供专职安全员名单。因安全措施落实不到位造成安全事故的，成交供应商承担全部责任，对采购人或第三方造成损害的由成交供应商负责赔偿。</w:t>
      </w:r>
    </w:p>
    <w:p w14:paraId="587B3DD0">
      <w:pPr>
        <w:spacing w:line="500" w:lineRule="exact"/>
        <w:ind w:firstLine="560" w:firstLineChars="200"/>
        <w:outlineLvl w:val="1"/>
        <w:rPr>
          <w:rFonts w:ascii="黑体" w:hAnsi="黑体" w:eastAsia="黑体"/>
          <w:color w:val="auto"/>
          <w:sz w:val="28"/>
          <w:szCs w:val="28"/>
          <w:highlight w:val="none"/>
        </w:rPr>
      </w:pPr>
      <w:r>
        <w:rPr>
          <w:rFonts w:hint="eastAsia" w:ascii="黑体" w:hAnsi="黑体" w:eastAsia="黑体"/>
          <w:color w:val="auto"/>
          <w:sz w:val="28"/>
          <w:szCs w:val="28"/>
          <w:highlight w:val="none"/>
        </w:rPr>
        <w:t>四、质量标准</w:t>
      </w:r>
    </w:p>
    <w:p w14:paraId="7467F71E">
      <w:pPr>
        <w:spacing w:line="500" w:lineRule="exact"/>
        <w:ind w:firstLine="560" w:firstLineChars="200"/>
        <w:rPr>
          <w:rFonts w:ascii="仿宋" w:hAnsi="仿宋" w:eastAsia="仿宋" w:cs="仿宋"/>
          <w:bCs/>
          <w:color w:val="auto"/>
          <w:sz w:val="28"/>
          <w:szCs w:val="28"/>
          <w:highlight w:val="none"/>
        </w:rPr>
      </w:pPr>
      <w:r>
        <w:rPr>
          <w:rFonts w:hint="eastAsia" w:ascii="仿宋" w:hAnsi="仿宋" w:eastAsia="仿宋"/>
          <w:bCs/>
          <w:color w:val="auto"/>
          <w:sz w:val="28"/>
          <w:szCs w:val="28"/>
          <w:highlight w:val="none"/>
        </w:rPr>
        <w:t>（一）</w:t>
      </w:r>
      <w:r>
        <w:rPr>
          <w:rFonts w:hint="eastAsia" w:ascii="仿宋" w:hAnsi="仿宋" w:eastAsia="仿宋" w:cs="仿宋"/>
          <w:bCs/>
          <w:color w:val="auto"/>
          <w:sz w:val="28"/>
          <w:szCs w:val="28"/>
          <w:highlight w:val="none"/>
        </w:rPr>
        <w:t>所有成交标准按国家标准执行，无国家标准的，按行业标准执行，无国家和行业标准的，按企业标准执行；但在采购文件中有特别要求的，按采购文件中规定的要求执行，并且符合相关法律、法规规定的要求。</w:t>
      </w:r>
    </w:p>
    <w:p w14:paraId="26102DC4">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二）在项目采购或实施过程中，如国家标准修改，应按照新国家标准实施；如本谈判文件规定高于国家标准，无论新旧标准，均按本谈判文件规定实施；如本谈判文件规定低于国家标准，无论新旧标准，均按国家标准规定实施。如本谈判文件内有内容相互矛盾，以高标准高要求的为准。以上有关风险等由供应商自行考虑并承担</w:t>
      </w:r>
      <w:r>
        <w:rPr>
          <w:rFonts w:hint="eastAsia" w:ascii="仿宋" w:hAnsi="仿宋" w:eastAsia="仿宋"/>
          <w:bCs/>
          <w:color w:val="auto"/>
          <w:sz w:val="28"/>
          <w:szCs w:val="28"/>
          <w:highlight w:val="none"/>
        </w:rPr>
        <w:t>。</w:t>
      </w:r>
    </w:p>
    <w:p w14:paraId="203FFC9B">
      <w:pPr>
        <w:spacing w:line="500" w:lineRule="exact"/>
        <w:ind w:firstLine="560" w:firstLineChars="200"/>
        <w:outlineLvl w:val="1"/>
        <w:rPr>
          <w:rFonts w:ascii="黑体" w:hAnsi="黑体" w:eastAsia="黑体"/>
          <w:color w:val="auto"/>
          <w:sz w:val="28"/>
          <w:szCs w:val="28"/>
          <w:highlight w:val="none"/>
        </w:rPr>
      </w:pPr>
      <w:bookmarkStart w:id="38" w:name="_Toc4245"/>
      <w:r>
        <w:rPr>
          <w:rFonts w:hint="eastAsia" w:ascii="黑体" w:hAnsi="黑体" w:eastAsia="黑体"/>
          <w:color w:val="auto"/>
          <w:sz w:val="28"/>
          <w:szCs w:val="28"/>
          <w:highlight w:val="none"/>
        </w:rPr>
        <w:t>五、服务期限和地点</w:t>
      </w:r>
      <w:bookmarkEnd w:id="38"/>
    </w:p>
    <w:p w14:paraId="6B03B692">
      <w:pPr>
        <w:spacing w:line="500" w:lineRule="exact"/>
        <w:ind w:firstLine="560" w:firstLineChars="200"/>
        <w:rPr>
          <w:rFonts w:ascii="仿宋" w:hAnsi="仿宋" w:eastAsia="仿宋"/>
          <w:color w:val="auto"/>
          <w:sz w:val="28"/>
          <w:szCs w:val="28"/>
          <w:highlight w:val="none"/>
        </w:rPr>
      </w:pPr>
      <w:bookmarkStart w:id="39" w:name="_Toc13568"/>
      <w:r>
        <w:rPr>
          <w:rFonts w:hint="eastAsia" w:ascii="仿宋" w:hAnsi="仿宋" w:eastAsia="仿宋"/>
          <w:color w:val="auto"/>
          <w:sz w:val="28"/>
          <w:szCs w:val="28"/>
          <w:highlight w:val="none"/>
        </w:rPr>
        <w:t>服务期限：</w:t>
      </w:r>
      <w:bookmarkEnd w:id="39"/>
      <w:bookmarkStart w:id="40" w:name="_Toc13136"/>
      <w:r>
        <w:rPr>
          <w:rFonts w:hint="eastAsia" w:ascii="仿宋" w:hAnsi="仿宋" w:eastAsia="仿宋" w:cs="仿宋"/>
          <w:color w:val="auto"/>
          <w:sz w:val="28"/>
          <w:szCs w:val="28"/>
          <w:highlight w:val="none"/>
        </w:rPr>
        <w:t>自合同签订之日起45日历天内完成并形成《房屋安全鉴定报告》、《</w:t>
      </w:r>
      <w:r>
        <w:rPr>
          <w:rFonts w:hint="eastAsia" w:ascii="仿宋" w:hAnsi="仿宋" w:eastAsia="仿宋"/>
          <w:b/>
          <w:bCs/>
          <w:color w:val="auto"/>
          <w:sz w:val="28"/>
          <w:szCs w:val="28"/>
          <w:highlight w:val="none"/>
        </w:rPr>
        <w:t>消防安全评估报告</w:t>
      </w:r>
      <w:r>
        <w:rPr>
          <w:rFonts w:hint="eastAsia" w:ascii="仿宋" w:hAnsi="仿宋" w:eastAsia="仿宋" w:cs="仿宋"/>
          <w:color w:val="auto"/>
          <w:sz w:val="28"/>
          <w:szCs w:val="28"/>
          <w:highlight w:val="none"/>
        </w:rPr>
        <w:t>》，具体时间以采购人通知为准</w:t>
      </w:r>
      <w:r>
        <w:rPr>
          <w:rFonts w:hint="eastAsia" w:ascii="仿宋" w:hAnsi="仿宋" w:eastAsia="仿宋"/>
          <w:color w:val="auto"/>
          <w:sz w:val="28"/>
          <w:szCs w:val="28"/>
          <w:highlight w:val="none"/>
        </w:rPr>
        <w:t>。(因采购人现场整改原因导致的工期延误不计算在合同履行的45个工作日内）。</w:t>
      </w:r>
    </w:p>
    <w:p w14:paraId="77992930">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地点：</w:t>
      </w:r>
      <w:bookmarkEnd w:id="40"/>
      <w:r>
        <w:rPr>
          <w:rFonts w:hint="eastAsia" w:ascii="仿宋" w:hAnsi="仿宋" w:eastAsia="仿宋" w:cs="仿宋"/>
          <w:color w:val="auto"/>
          <w:sz w:val="28"/>
          <w:szCs w:val="28"/>
          <w:highlight w:val="none"/>
        </w:rPr>
        <w:t>采购人指定地点</w:t>
      </w:r>
    </w:p>
    <w:p w14:paraId="70F850AB">
      <w:pPr>
        <w:spacing w:line="500" w:lineRule="exact"/>
        <w:ind w:firstLine="560" w:firstLineChars="200"/>
        <w:outlineLvl w:val="1"/>
        <w:rPr>
          <w:rFonts w:ascii="黑体" w:hAnsi="黑体" w:eastAsia="黑体"/>
          <w:color w:val="auto"/>
          <w:sz w:val="28"/>
          <w:szCs w:val="28"/>
          <w:highlight w:val="none"/>
        </w:rPr>
      </w:pPr>
      <w:bookmarkStart w:id="41" w:name="_Toc19524"/>
      <w:r>
        <w:rPr>
          <w:rFonts w:hint="eastAsia" w:ascii="黑体" w:hAnsi="黑体" w:eastAsia="黑体"/>
          <w:color w:val="auto"/>
          <w:sz w:val="28"/>
          <w:szCs w:val="28"/>
          <w:highlight w:val="none"/>
        </w:rPr>
        <w:t>六、验收方案</w:t>
      </w:r>
      <w:bookmarkEnd w:id="41"/>
    </w:p>
    <w:p w14:paraId="3F3333FF">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在接到成交供应商以书面形式提出验收申请后，在10个工作日内及时组织相关专业技术人员共同参与验收，并出具验收报告，作为支付货款的依据。</w:t>
      </w:r>
    </w:p>
    <w:p w14:paraId="20D0A8B1">
      <w:pPr>
        <w:spacing w:line="500" w:lineRule="exact"/>
        <w:ind w:firstLine="560" w:firstLineChars="200"/>
        <w:outlineLvl w:val="1"/>
        <w:rPr>
          <w:rFonts w:ascii="仿宋" w:hAnsi="仿宋" w:eastAsia="仿宋"/>
          <w:color w:val="auto"/>
          <w:sz w:val="28"/>
          <w:szCs w:val="28"/>
          <w:highlight w:val="none"/>
        </w:rPr>
      </w:pPr>
      <w:bookmarkStart w:id="42" w:name="_Toc23229"/>
      <w:bookmarkStart w:id="43" w:name="_Toc29778"/>
      <w:r>
        <w:rPr>
          <w:rFonts w:hint="eastAsia" w:ascii="黑体" w:hAnsi="黑体" w:eastAsia="黑体"/>
          <w:color w:val="auto"/>
          <w:sz w:val="28"/>
          <w:szCs w:val="28"/>
          <w:highlight w:val="none"/>
        </w:rPr>
        <w:t>七、</w:t>
      </w:r>
      <w:bookmarkEnd w:id="42"/>
      <w:bookmarkEnd w:id="43"/>
      <w:bookmarkStart w:id="44" w:name="_Toc1159"/>
      <w:r>
        <w:rPr>
          <w:rFonts w:hint="eastAsia" w:ascii="黑体" w:hAnsi="黑体" w:eastAsia="黑体"/>
          <w:color w:val="auto"/>
          <w:sz w:val="28"/>
          <w:szCs w:val="28"/>
          <w:highlight w:val="none"/>
        </w:rPr>
        <w:t>付款方式</w:t>
      </w:r>
      <w:bookmarkEnd w:id="44"/>
      <w:bookmarkStart w:id="45" w:name="_Toc2109"/>
      <w:bookmarkStart w:id="46" w:name="_Toc4069"/>
    </w:p>
    <w:bookmarkEnd w:id="45"/>
    <w:p w14:paraId="18F2BDD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lang w:val="zh-CN"/>
        </w:rPr>
        <w:t>成交供应商按照要求完成全部技术服务工作且形成《房屋安全鉴定报告》、</w:t>
      </w:r>
      <w:r>
        <w:rPr>
          <w:rFonts w:hint="eastAsia" w:ascii="仿宋" w:hAnsi="仿宋" w:eastAsia="仿宋" w:cs="仿宋"/>
          <w:color w:val="auto"/>
          <w:sz w:val="28"/>
          <w:szCs w:val="28"/>
          <w:highlight w:val="none"/>
        </w:rPr>
        <w:t>《</w:t>
      </w:r>
      <w:r>
        <w:rPr>
          <w:rFonts w:hint="eastAsia" w:ascii="仿宋" w:hAnsi="仿宋" w:eastAsia="仿宋"/>
          <w:b/>
          <w:bCs/>
          <w:color w:val="auto"/>
          <w:sz w:val="28"/>
          <w:szCs w:val="28"/>
          <w:highlight w:val="none"/>
        </w:rPr>
        <w:t>消防安全评估报告</w:t>
      </w:r>
      <w:r>
        <w:rPr>
          <w:rFonts w:hint="eastAsia" w:ascii="仿宋" w:hAnsi="仿宋" w:eastAsia="仿宋" w:cs="仿宋"/>
          <w:color w:val="auto"/>
          <w:sz w:val="28"/>
          <w:szCs w:val="28"/>
          <w:highlight w:val="none"/>
        </w:rPr>
        <w:t>》</w:t>
      </w:r>
      <w:r>
        <w:rPr>
          <w:rFonts w:hint="eastAsia" w:ascii="仿宋" w:hAnsi="仿宋" w:eastAsia="仿宋"/>
          <w:color w:val="auto"/>
          <w:sz w:val="28"/>
          <w:szCs w:val="28"/>
          <w:highlight w:val="none"/>
          <w:lang w:val="zh-CN"/>
        </w:rPr>
        <w:t>，经采购人验收合格后支付中标合同金额的100%；支付前，成交供应商均须出具税务部门开具的正式发票。</w:t>
      </w:r>
    </w:p>
    <w:bookmarkEnd w:id="46"/>
    <w:p w14:paraId="5E5E7CDC">
      <w:pPr>
        <w:spacing w:line="500" w:lineRule="exact"/>
        <w:ind w:firstLine="560" w:firstLineChars="200"/>
        <w:outlineLvl w:val="1"/>
        <w:rPr>
          <w:rFonts w:ascii="仿宋" w:hAnsi="仿宋" w:eastAsia="仿宋"/>
          <w:bCs/>
          <w:color w:val="auto"/>
          <w:sz w:val="28"/>
          <w:szCs w:val="28"/>
          <w:highlight w:val="none"/>
        </w:rPr>
      </w:pPr>
      <w:bookmarkStart w:id="47" w:name="_Toc11704"/>
      <w:r>
        <w:rPr>
          <w:rFonts w:hint="eastAsia" w:ascii="黑体" w:hAnsi="黑体" w:eastAsia="黑体"/>
          <w:color w:val="auto"/>
          <w:sz w:val="28"/>
          <w:szCs w:val="28"/>
          <w:highlight w:val="none"/>
        </w:rPr>
        <w:t>八、报价要求</w:t>
      </w:r>
      <w:bookmarkEnd w:id="47"/>
    </w:p>
    <w:p w14:paraId="4D6E4BA3">
      <w:pPr>
        <w:spacing w:line="500" w:lineRule="exact"/>
        <w:ind w:firstLine="560" w:firstLineChars="200"/>
        <w:rPr>
          <w:color w:val="auto"/>
          <w:highlight w:val="none"/>
        </w:rPr>
      </w:pPr>
      <w:r>
        <w:rPr>
          <w:rFonts w:hint="eastAsia" w:ascii="仿宋" w:hAnsi="仿宋" w:eastAsia="仿宋" w:cs="仿宋"/>
          <w:color w:val="auto"/>
          <w:sz w:val="28"/>
          <w:szCs w:val="28"/>
          <w:highlight w:val="none"/>
        </w:rPr>
        <w:t>（一）报价要求：最终结算价=最终成交单价*实际鉴定数量，最终结算价不得超过182.1万元。</w:t>
      </w:r>
      <w:r>
        <w:rPr>
          <w:rFonts w:hint="eastAsia" w:ascii="仿宋" w:hAnsi="仿宋" w:eastAsia="仿宋"/>
          <w:color w:val="auto"/>
          <w:sz w:val="28"/>
          <w:szCs w:val="28"/>
          <w:highlight w:val="none"/>
        </w:rPr>
        <w:t>响应供应商报价应包含本项目所含直接成本（现场相关人员工资及用于本项目的其他专项开支、与安全鉴定工作相关的设备、仪器费用等）、间接成本、税费、代理服务费等一切与之相关费用。</w:t>
      </w:r>
    </w:p>
    <w:p w14:paraId="44EA3A95">
      <w:pPr>
        <w:spacing w:line="500" w:lineRule="exact"/>
        <w:ind w:firstLine="560" w:firstLineChars="200"/>
        <w:rPr>
          <w:rFonts w:ascii="仿宋" w:hAnsi="仿宋" w:eastAsia="仿宋"/>
          <w:color w:val="auto"/>
          <w:sz w:val="28"/>
          <w:szCs w:val="28"/>
          <w:highlight w:val="none"/>
        </w:rPr>
      </w:pPr>
      <w:r>
        <w:rPr>
          <w:rFonts w:hint="eastAsia" w:ascii="仿宋" w:hAnsi="仿宋" w:eastAsia="仿宋" w:cs="仿宋"/>
          <w:color w:val="auto"/>
          <w:sz w:val="28"/>
          <w:szCs w:val="28"/>
          <w:highlight w:val="none"/>
        </w:rPr>
        <w:t>（二）</w:t>
      </w:r>
      <w:r>
        <w:rPr>
          <w:rFonts w:hint="eastAsia" w:ascii="仿宋" w:hAnsi="仿宋" w:eastAsia="仿宋"/>
          <w:color w:val="auto"/>
          <w:sz w:val="28"/>
          <w:highlight w:val="none"/>
        </w:rPr>
        <w:t>响应供应商的最终结算价应对采购文件内的全部内容进行报价，采购文件未列明，而供应商认为其他必需的费用也需列入报价。在合同实施时，采购方将不予支付成交人没有填列的项目费用，并认为此项目的费用已包括在报价中</w:t>
      </w:r>
      <w:r>
        <w:rPr>
          <w:rFonts w:hint="eastAsia" w:ascii="仿宋" w:hAnsi="仿宋" w:eastAsia="仿宋"/>
          <w:color w:val="auto"/>
          <w:sz w:val="28"/>
          <w:szCs w:val="28"/>
          <w:highlight w:val="none"/>
        </w:rPr>
        <w:t>。</w:t>
      </w:r>
    </w:p>
    <w:p w14:paraId="72F7D9AC">
      <w:pPr>
        <w:spacing w:line="500" w:lineRule="exact"/>
        <w:ind w:firstLine="560" w:firstLineChars="200"/>
        <w:outlineLvl w:val="1"/>
        <w:rPr>
          <w:rFonts w:ascii="仿宋" w:hAnsi="仿宋" w:eastAsia="仿宋"/>
          <w:bCs/>
          <w:color w:val="auto"/>
          <w:sz w:val="28"/>
          <w:szCs w:val="28"/>
          <w:highlight w:val="none"/>
        </w:rPr>
      </w:pPr>
      <w:bookmarkStart w:id="48" w:name="_Toc25343"/>
      <w:bookmarkStart w:id="49" w:name="_Toc3047"/>
      <w:r>
        <w:rPr>
          <w:rFonts w:hint="eastAsia" w:ascii="黑体" w:hAnsi="黑体" w:eastAsia="黑体"/>
          <w:color w:val="auto"/>
          <w:sz w:val="28"/>
          <w:szCs w:val="28"/>
          <w:highlight w:val="none"/>
        </w:rPr>
        <w:t>九、</w:t>
      </w:r>
      <w:bookmarkEnd w:id="48"/>
      <w:bookmarkEnd w:id="49"/>
      <w:bookmarkStart w:id="50" w:name="_Toc12729"/>
      <w:bookmarkStart w:id="51" w:name="_Toc28298"/>
      <w:r>
        <w:rPr>
          <w:rFonts w:hint="eastAsia" w:ascii="黑体" w:hAnsi="黑体" w:eastAsia="黑体"/>
          <w:color w:val="auto"/>
          <w:sz w:val="28"/>
          <w:szCs w:val="28"/>
          <w:highlight w:val="none"/>
        </w:rPr>
        <w:t>其他要求</w:t>
      </w:r>
      <w:bookmarkEnd w:id="50"/>
      <w:bookmarkEnd w:id="51"/>
    </w:p>
    <w:p w14:paraId="183567DB">
      <w:pPr>
        <w:spacing w:line="500" w:lineRule="exact"/>
        <w:ind w:firstLine="560" w:firstLineChars="20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（一）对本项目响应供应商资格要求、项目需求等的质疑由采购单位负责答复；采购单位具有项目的解释权，质疑函和答复由采购代理机构备案。</w:t>
      </w:r>
    </w:p>
    <w:p w14:paraId="1E30BB8E">
      <w:pPr>
        <w:spacing w:line="500" w:lineRule="exact"/>
        <w:ind w:firstLine="560" w:firstLineChars="200"/>
        <w:rPr>
          <w:rFonts w:ascii="仿宋" w:hAnsi="仿宋" w:eastAsia="仿宋"/>
          <w:b/>
          <w:color w:val="auto"/>
          <w:sz w:val="28"/>
          <w:szCs w:val="28"/>
          <w:highlight w:val="none"/>
        </w:rPr>
      </w:pPr>
      <w:r>
        <w:rPr>
          <w:rFonts w:hint="eastAsia" w:ascii="仿宋" w:hAnsi="仿宋" w:eastAsia="仿宋" w:cs="仿宋"/>
          <w:bCs/>
          <w:color w:val="auto"/>
          <w:sz w:val="28"/>
          <w:szCs w:val="28"/>
          <w:highlight w:val="none"/>
        </w:rPr>
        <w:t>（二）响应供应商对磋商文件有疑义的必须在答疑截止日期前以书面方式向采购人提出，采购人认为合理的，将以磋商文件答疑方式告知所有响应供应商。如在答疑截止日前未提出疑义的视同完全认同磋商文件所有条款</w:t>
      </w:r>
      <w:r>
        <w:rPr>
          <w:rFonts w:hint="eastAsia" w:ascii="仿宋" w:hAnsi="仿宋" w:eastAsia="仿宋"/>
          <w:b/>
          <w:color w:val="auto"/>
          <w:sz w:val="28"/>
          <w:szCs w:val="28"/>
          <w:highlight w:val="none"/>
        </w:rPr>
        <w:t>。</w:t>
      </w:r>
    </w:p>
    <w:p w14:paraId="7973597B">
      <w:pPr>
        <w:pStyle w:val="14"/>
        <w:spacing w:line="240" w:lineRule="auto"/>
        <w:ind w:firstLine="560"/>
        <w:jc w:val="both"/>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br w:type="page" w:clear="all"/>
      </w:r>
      <w:r>
        <w:rPr>
          <w:rFonts w:hint="eastAsia" w:ascii="方正小标宋简体" w:eastAsia="方正小标宋简体"/>
          <w:bCs/>
          <w:color w:val="auto"/>
          <w:sz w:val="32"/>
          <w:szCs w:val="32"/>
          <w:highlight w:val="none"/>
        </w:rPr>
        <w:t>第4章 合同文本</w:t>
      </w:r>
    </w:p>
    <w:p w14:paraId="1CF60B21">
      <w:pPr>
        <w:widowControl/>
        <w:spacing w:before="19"/>
        <w:jc w:val="center"/>
        <w:rPr>
          <w:rFonts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t>如皋市政府采购合同</w:t>
      </w:r>
    </w:p>
    <w:p w14:paraId="4F6503A4">
      <w:pPr>
        <w:ind w:firstLine="640"/>
        <w:rPr>
          <w:rFonts w:ascii="仿宋" w:hAnsi="仿宋" w:eastAsia="仿宋"/>
          <w:color w:val="auto"/>
          <w:sz w:val="32"/>
          <w:szCs w:val="32"/>
          <w:highlight w:val="none"/>
        </w:rPr>
      </w:pPr>
    </w:p>
    <w:p w14:paraId="41861B7F">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项目名称：</w:t>
      </w:r>
      <w:r>
        <w:rPr>
          <w:rFonts w:hint="eastAsia" w:ascii="仿宋" w:hAnsi="仿宋" w:eastAsia="仿宋"/>
          <w:color w:val="auto"/>
          <w:sz w:val="32"/>
          <w:szCs w:val="32"/>
          <w:highlight w:val="none"/>
          <w:u w:val="single"/>
        </w:rPr>
        <w:t>如皋市高新区高层建筑质量安全鉴定和消防安全评估项目</w:t>
      </w:r>
    </w:p>
    <w:p w14:paraId="096146BC">
      <w:pPr>
        <w:ind w:firstLine="640"/>
        <w:rPr>
          <w:rFonts w:ascii="仿宋" w:hAnsi="仿宋" w:eastAsia="仿宋"/>
          <w:color w:val="auto"/>
          <w:sz w:val="32"/>
          <w:szCs w:val="32"/>
          <w:highlight w:val="none"/>
        </w:rPr>
      </w:pPr>
    </w:p>
    <w:p w14:paraId="019DB599">
      <w:pPr>
        <w:ind w:firstLine="640"/>
        <w:rPr>
          <w:rFonts w:hint="eastAsia" w:ascii="仿宋" w:hAnsi="仿宋" w:eastAsia="仿宋"/>
          <w:color w:val="auto"/>
          <w:sz w:val="32"/>
          <w:szCs w:val="32"/>
          <w:highlight w:val="none"/>
          <w:u w:val="single"/>
          <w:lang w:eastAsia="zh-CN"/>
        </w:rPr>
      </w:pPr>
      <w:r>
        <w:rPr>
          <w:rFonts w:hint="eastAsia" w:ascii="仿宋" w:hAnsi="仿宋" w:eastAsia="仿宋"/>
          <w:color w:val="auto"/>
          <w:sz w:val="32"/>
          <w:szCs w:val="32"/>
          <w:highlight w:val="none"/>
        </w:rPr>
        <w:t>计划编号：</w:t>
      </w:r>
      <w:r>
        <w:rPr>
          <w:rFonts w:hint="eastAsia" w:ascii="仿宋" w:hAnsi="仿宋" w:eastAsia="仿宋"/>
          <w:color w:val="auto"/>
          <w:sz w:val="32"/>
          <w:szCs w:val="32"/>
          <w:highlight w:val="none"/>
          <w:u w:val="single"/>
        </w:rPr>
        <w:t>JSZC-320682-RGCJ-C2025</w:t>
      </w:r>
      <w:r>
        <w:rPr>
          <w:rFonts w:hint="eastAsia" w:ascii="仿宋" w:hAnsi="仿宋" w:eastAsia="仿宋"/>
          <w:color w:val="auto"/>
          <w:sz w:val="32"/>
          <w:szCs w:val="32"/>
          <w:highlight w:val="none"/>
          <w:u w:val="single"/>
          <w:lang w:eastAsia="zh-CN"/>
        </w:rPr>
        <w:t>-0026</w:t>
      </w:r>
    </w:p>
    <w:p w14:paraId="2E9BF1FA">
      <w:pPr>
        <w:ind w:firstLine="640"/>
        <w:rPr>
          <w:rFonts w:ascii="仿宋" w:hAnsi="仿宋" w:eastAsia="仿宋"/>
          <w:color w:val="auto"/>
          <w:sz w:val="32"/>
          <w:szCs w:val="32"/>
          <w:highlight w:val="none"/>
        </w:rPr>
      </w:pPr>
    </w:p>
    <w:p w14:paraId="77129B93">
      <w:pPr>
        <w:ind w:firstLine="640"/>
        <w:rPr>
          <w:rFonts w:ascii="仿宋" w:hAnsi="仿宋" w:eastAsia="仿宋"/>
          <w:color w:val="auto"/>
          <w:sz w:val="32"/>
          <w:szCs w:val="32"/>
          <w:highlight w:val="none"/>
          <w:u w:val="single"/>
        </w:rPr>
      </w:pPr>
      <w:r>
        <w:rPr>
          <w:rFonts w:hint="eastAsia" w:ascii="仿宋" w:hAnsi="仿宋" w:eastAsia="仿宋"/>
          <w:color w:val="auto"/>
          <w:sz w:val="32"/>
          <w:szCs w:val="32"/>
          <w:highlight w:val="none"/>
        </w:rPr>
        <w:t>甲方：</w:t>
      </w:r>
      <w:r>
        <w:rPr>
          <w:rFonts w:hint="eastAsia" w:ascii="仿宋" w:hAnsi="仿宋" w:eastAsia="仿宋"/>
          <w:color w:val="auto"/>
          <w:sz w:val="32"/>
          <w:szCs w:val="32"/>
          <w:highlight w:val="none"/>
          <w:u w:val="single"/>
        </w:rPr>
        <w:t>江苏省如皋高新技术产业开发区管理委员会</w:t>
      </w:r>
    </w:p>
    <w:p w14:paraId="72F6555C">
      <w:pPr>
        <w:ind w:firstLine="640"/>
        <w:rPr>
          <w:rFonts w:ascii="仿宋" w:hAnsi="仿宋" w:eastAsia="仿宋"/>
          <w:color w:val="auto"/>
          <w:sz w:val="32"/>
          <w:szCs w:val="32"/>
          <w:highlight w:val="none"/>
        </w:rPr>
      </w:pPr>
    </w:p>
    <w:p w14:paraId="0436C91E">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乙方：</w:t>
      </w:r>
    </w:p>
    <w:p w14:paraId="0683690E">
      <w:pPr>
        <w:rPr>
          <w:rFonts w:ascii="仿宋_GB2312" w:hAnsi="宋体" w:eastAsia="仿宋_GB2312"/>
          <w:color w:val="auto"/>
          <w:sz w:val="32"/>
          <w:szCs w:val="32"/>
          <w:highlight w:val="none"/>
        </w:rPr>
      </w:pPr>
    </w:p>
    <w:p w14:paraId="1757A639">
      <w:pPr>
        <w:jc w:val="center"/>
        <w:rPr>
          <w:rFonts w:ascii="仿宋" w:hAnsi="仿宋" w:eastAsia="仿宋"/>
          <w:color w:val="auto"/>
          <w:sz w:val="32"/>
          <w:szCs w:val="32"/>
          <w:highlight w:val="none"/>
        </w:rPr>
        <w:sectPr>
          <w:headerReference r:id="rId3" w:type="default"/>
          <w:footerReference r:id="rId4" w:type="default"/>
          <w:footerReference r:id="rId5" w:type="even"/>
          <w:pgSz w:w="11906" w:h="16838"/>
          <w:pgMar w:top="1418" w:right="1134" w:bottom="1134" w:left="1418" w:header="851" w:footer="992" w:gutter="0"/>
          <w:cols w:space="1701" w:num="1"/>
          <w:docGrid w:linePitch="360" w:charSpace="0"/>
        </w:sectPr>
      </w:pPr>
      <w:r>
        <w:rPr>
          <w:rFonts w:hint="eastAsia" w:ascii="仿宋" w:hAnsi="仿宋" w:eastAsia="仿宋"/>
          <w:color w:val="auto"/>
          <w:sz w:val="32"/>
          <w:szCs w:val="32"/>
          <w:highlight w:val="none"/>
        </w:rPr>
        <w:t>签订时间：      年    月    日</w:t>
      </w:r>
    </w:p>
    <w:p w14:paraId="46A052A9">
      <w:pPr>
        <w:ind w:firstLine="480"/>
        <w:rPr>
          <w:rFonts w:ascii="仿宋" w:hAnsi="仿宋" w:eastAsia="仿宋"/>
          <w:color w:val="auto"/>
          <w:sz w:val="24"/>
          <w:highlight w:val="none"/>
        </w:rPr>
      </w:pPr>
      <w:r>
        <w:rPr>
          <w:rFonts w:hint="eastAsia" w:ascii="仿宋" w:hAnsi="仿宋" w:eastAsia="仿宋"/>
          <w:color w:val="auto"/>
          <w:sz w:val="24"/>
          <w:highlight w:val="none"/>
          <w:u w:val="single"/>
        </w:rPr>
        <w:t>江苏省如皋高新技术产业开发区管理委员会</w:t>
      </w:r>
      <w:r>
        <w:rPr>
          <w:rFonts w:hint="eastAsia" w:ascii="仿宋" w:hAnsi="仿宋" w:eastAsia="仿宋"/>
          <w:color w:val="auto"/>
          <w:sz w:val="24"/>
          <w:highlight w:val="none"/>
        </w:rPr>
        <w:t>的</w:t>
      </w:r>
      <w:r>
        <w:rPr>
          <w:rFonts w:hint="eastAsia" w:ascii="仿宋" w:hAnsi="仿宋" w:eastAsia="仿宋"/>
          <w:color w:val="auto"/>
          <w:sz w:val="24"/>
          <w:highlight w:val="none"/>
          <w:u w:val="single"/>
        </w:rPr>
        <w:t>如皋市高新区高层建筑质量安全鉴定和消防安全评估项目</w:t>
      </w:r>
      <w:r>
        <w:rPr>
          <w:rFonts w:hint="eastAsia" w:ascii="仿宋" w:hAnsi="仿宋" w:eastAsia="仿宋"/>
          <w:color w:val="auto"/>
          <w:sz w:val="24"/>
          <w:highlight w:val="none"/>
        </w:rPr>
        <w:t>委托如皋市城建工程项目管理有限公司进行了政府采购。按照评委会评审推荐、甲方确定乙方为成交单位。现甲乙双方协商同意签订本合同。</w:t>
      </w:r>
    </w:p>
    <w:p w14:paraId="7E0562FF">
      <w:pPr>
        <w:numPr>
          <w:ilvl w:val="0"/>
          <w:numId w:val="2"/>
        </w:numPr>
        <w:tabs>
          <w:tab w:val="left" w:pos="0"/>
        </w:tabs>
        <w:ind w:left="0" w:firstLine="482"/>
        <w:rPr>
          <w:rFonts w:ascii="仿宋" w:hAnsi="仿宋" w:eastAsia="仿宋"/>
          <w:b/>
          <w:color w:val="auto"/>
          <w:sz w:val="24"/>
          <w:highlight w:val="none"/>
        </w:rPr>
      </w:pPr>
      <w:r>
        <w:rPr>
          <w:rFonts w:hint="eastAsia" w:ascii="仿宋" w:hAnsi="仿宋" w:eastAsia="仿宋"/>
          <w:b/>
          <w:color w:val="auto"/>
          <w:sz w:val="24"/>
          <w:highlight w:val="none"/>
        </w:rPr>
        <w:t xml:space="preserve"> 合同文件</w:t>
      </w:r>
    </w:p>
    <w:p w14:paraId="027ADF94">
      <w:pPr>
        <w:ind w:firstLine="480"/>
        <w:rPr>
          <w:rFonts w:ascii="仿宋" w:hAnsi="仿宋" w:eastAsia="仿宋"/>
          <w:color w:val="auto"/>
          <w:sz w:val="24"/>
          <w:highlight w:val="none"/>
        </w:rPr>
      </w:pPr>
      <w:r>
        <w:rPr>
          <w:rFonts w:ascii="仿宋" w:hAnsi="仿宋" w:eastAsia="仿宋"/>
          <w:color w:val="auto"/>
          <w:sz w:val="24"/>
          <w:highlight w:val="none"/>
        </w:rPr>
        <w:t>下列与本次采购活动</w:t>
      </w:r>
      <w:r>
        <w:rPr>
          <w:rFonts w:hint="eastAsia" w:ascii="仿宋" w:hAnsi="仿宋" w:eastAsia="仿宋"/>
          <w:color w:val="auto"/>
          <w:sz w:val="24"/>
          <w:highlight w:val="none"/>
        </w:rPr>
        <w:t>有关</w:t>
      </w:r>
      <w:r>
        <w:rPr>
          <w:rFonts w:ascii="仿宋" w:hAnsi="仿宋" w:eastAsia="仿宋"/>
          <w:color w:val="auto"/>
          <w:sz w:val="24"/>
          <w:highlight w:val="none"/>
        </w:rPr>
        <w:t>的文件及附件是本合同不可分割的组成部分，与本合同具有同等法律效力，这些文件包括但不限于：</w:t>
      </w:r>
    </w:p>
    <w:p w14:paraId="0152BD33">
      <w:pPr>
        <w:ind w:firstLine="480"/>
        <w:rPr>
          <w:rFonts w:ascii="仿宋" w:hAnsi="仿宋" w:eastAsia="仿宋"/>
          <w:color w:val="auto"/>
          <w:sz w:val="24"/>
          <w:highlight w:val="none"/>
        </w:rPr>
      </w:pPr>
      <w:r>
        <w:rPr>
          <w:rFonts w:hint="eastAsia" w:ascii="仿宋" w:hAnsi="仿宋" w:eastAsia="仿宋"/>
          <w:color w:val="auto"/>
          <w:sz w:val="24"/>
          <w:highlight w:val="none"/>
        </w:rPr>
        <w:t>1.（JSZC-320682-RGCJ-C2025</w:t>
      </w:r>
      <w:r>
        <w:rPr>
          <w:rFonts w:hint="eastAsia" w:ascii="仿宋" w:hAnsi="仿宋" w:eastAsia="仿宋"/>
          <w:color w:val="auto"/>
          <w:sz w:val="24"/>
          <w:highlight w:val="none"/>
          <w:lang w:eastAsia="zh-CN"/>
        </w:rPr>
        <w:t>-0026</w:t>
      </w:r>
      <w:r>
        <w:rPr>
          <w:rFonts w:hint="eastAsia" w:ascii="仿宋" w:hAnsi="仿宋" w:eastAsia="仿宋"/>
          <w:color w:val="auto"/>
          <w:sz w:val="24"/>
          <w:highlight w:val="none"/>
        </w:rPr>
        <w:t>）采购文件；</w:t>
      </w:r>
    </w:p>
    <w:p w14:paraId="2B2E6E79">
      <w:pPr>
        <w:ind w:firstLine="480"/>
        <w:rPr>
          <w:rFonts w:ascii="仿宋" w:hAnsi="仿宋" w:eastAsia="仿宋"/>
          <w:color w:val="auto"/>
          <w:sz w:val="24"/>
          <w:highlight w:val="none"/>
        </w:rPr>
      </w:pPr>
      <w:r>
        <w:rPr>
          <w:rFonts w:hint="eastAsia" w:ascii="仿宋" w:hAnsi="仿宋" w:eastAsia="仿宋"/>
          <w:color w:val="auto"/>
          <w:sz w:val="24"/>
          <w:highlight w:val="none"/>
        </w:rPr>
        <w:t>2.竞争性磋商响应文件；</w:t>
      </w:r>
    </w:p>
    <w:p w14:paraId="6FCBA21F">
      <w:pPr>
        <w:ind w:firstLine="480"/>
        <w:rPr>
          <w:rFonts w:ascii="仿宋" w:hAnsi="仿宋" w:eastAsia="仿宋"/>
          <w:color w:val="auto"/>
          <w:sz w:val="24"/>
          <w:highlight w:val="none"/>
        </w:rPr>
      </w:pPr>
      <w:r>
        <w:rPr>
          <w:rFonts w:hint="eastAsia" w:ascii="仿宋" w:hAnsi="仿宋" w:eastAsia="仿宋"/>
          <w:color w:val="auto"/>
          <w:sz w:val="24"/>
          <w:highlight w:val="none"/>
        </w:rPr>
        <w:t>3.乙方在参加采购活动时的书面承诺；</w:t>
      </w:r>
    </w:p>
    <w:p w14:paraId="013765DE">
      <w:pPr>
        <w:ind w:firstLine="480"/>
        <w:rPr>
          <w:rFonts w:ascii="仿宋" w:hAnsi="仿宋" w:eastAsia="仿宋"/>
          <w:color w:val="auto"/>
          <w:sz w:val="24"/>
          <w:highlight w:val="none"/>
        </w:rPr>
      </w:pPr>
      <w:r>
        <w:rPr>
          <w:rFonts w:hint="eastAsia" w:ascii="仿宋" w:hAnsi="仿宋" w:eastAsia="仿宋"/>
          <w:color w:val="auto"/>
          <w:sz w:val="24"/>
          <w:highlight w:val="none"/>
        </w:rPr>
        <w:t>4.（JSZC-320682-RGCJ-C2025</w:t>
      </w:r>
      <w:r>
        <w:rPr>
          <w:rFonts w:hint="eastAsia" w:ascii="仿宋" w:hAnsi="仿宋" w:eastAsia="仿宋"/>
          <w:color w:val="auto"/>
          <w:sz w:val="24"/>
          <w:highlight w:val="none"/>
          <w:lang w:eastAsia="zh-CN"/>
        </w:rPr>
        <w:t>-0026</w:t>
      </w:r>
      <w:r>
        <w:rPr>
          <w:rFonts w:hint="eastAsia" w:ascii="仿宋" w:hAnsi="仿宋" w:eastAsia="仿宋"/>
          <w:color w:val="auto"/>
          <w:sz w:val="24"/>
          <w:highlight w:val="none"/>
        </w:rPr>
        <w:t>）中标（成交）通知书；</w:t>
      </w:r>
    </w:p>
    <w:p w14:paraId="6AAF91DD">
      <w:pPr>
        <w:ind w:firstLine="480"/>
        <w:rPr>
          <w:rFonts w:ascii="仿宋" w:hAnsi="仿宋" w:eastAsia="仿宋"/>
          <w:color w:val="auto"/>
          <w:sz w:val="24"/>
          <w:highlight w:val="none"/>
        </w:rPr>
      </w:pPr>
      <w:r>
        <w:rPr>
          <w:rFonts w:hint="eastAsia" w:ascii="仿宋" w:hAnsi="仿宋" w:eastAsia="仿宋"/>
          <w:color w:val="auto"/>
          <w:sz w:val="24"/>
          <w:highlight w:val="none"/>
        </w:rPr>
        <w:t>5.合同补充条款或说明；</w:t>
      </w:r>
    </w:p>
    <w:p w14:paraId="1BB2D765">
      <w:pPr>
        <w:ind w:firstLine="480"/>
        <w:rPr>
          <w:rFonts w:ascii="仿宋" w:hAnsi="仿宋" w:eastAsia="仿宋"/>
          <w:color w:val="auto"/>
          <w:sz w:val="24"/>
          <w:highlight w:val="none"/>
        </w:rPr>
      </w:pPr>
      <w:r>
        <w:rPr>
          <w:rFonts w:hint="eastAsia" w:ascii="仿宋" w:hAnsi="仿宋" w:eastAsia="仿宋"/>
          <w:color w:val="auto"/>
          <w:sz w:val="24"/>
          <w:highlight w:val="none"/>
        </w:rPr>
        <w:t>6.保密协议或条款；</w:t>
      </w:r>
    </w:p>
    <w:p w14:paraId="7645CBE2">
      <w:pPr>
        <w:ind w:firstLine="480"/>
        <w:rPr>
          <w:rFonts w:ascii="仿宋" w:hAnsi="仿宋" w:eastAsia="仿宋"/>
          <w:color w:val="auto"/>
          <w:sz w:val="24"/>
          <w:highlight w:val="none"/>
        </w:rPr>
      </w:pPr>
      <w:r>
        <w:rPr>
          <w:rFonts w:hint="eastAsia" w:ascii="仿宋" w:hAnsi="仿宋" w:eastAsia="仿宋"/>
          <w:color w:val="auto"/>
          <w:sz w:val="24"/>
          <w:highlight w:val="none"/>
        </w:rPr>
        <w:t>7.相关附件、图纸及电子版资料。</w:t>
      </w:r>
    </w:p>
    <w:p w14:paraId="7930848B">
      <w:pPr>
        <w:ind w:left="482"/>
        <w:rPr>
          <w:rFonts w:ascii="仿宋" w:hAnsi="仿宋" w:eastAsia="仿宋"/>
          <w:b/>
          <w:color w:val="auto"/>
          <w:sz w:val="24"/>
          <w:highlight w:val="none"/>
        </w:rPr>
      </w:pPr>
      <w:r>
        <w:rPr>
          <w:rFonts w:hint="eastAsia" w:ascii="仿宋" w:hAnsi="仿宋" w:eastAsia="仿宋"/>
          <w:b/>
          <w:color w:val="auto"/>
          <w:sz w:val="24"/>
          <w:highlight w:val="none"/>
        </w:rPr>
        <w:t>第二条  合同内容</w:t>
      </w:r>
    </w:p>
    <w:p w14:paraId="1E2CC3B1">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如皋市高新区高层建筑质量安全鉴定和消防安全评估项目，按南通市高层隐患专班办公室要求,高新区区内高层建筑需完善安全隐</w:t>
      </w:r>
      <w:r>
        <w:rPr>
          <w:rFonts w:hint="eastAsia" w:ascii="仿宋" w:hAnsi="仿宋" w:eastAsia="仿宋"/>
          <w:color w:val="auto"/>
          <w:sz w:val="24"/>
          <w:highlight w:val="none"/>
          <w:lang w:val="en-US" w:eastAsia="zh-CN"/>
        </w:rPr>
        <w:t>患</w:t>
      </w:r>
      <w:r>
        <w:rPr>
          <w:rFonts w:hint="eastAsia" w:ascii="仿宋" w:hAnsi="仿宋" w:eastAsia="仿宋"/>
          <w:color w:val="auto"/>
          <w:sz w:val="24"/>
          <w:highlight w:val="none"/>
        </w:rPr>
        <w:t>鉴定及消防评估,建筑质量安全鉴定58.3万平米，消防安全评估123.8万平米。现需采购一家第三方专业技术服务机构对高层建筑质量安全鉴定和消防安全评估。</w:t>
      </w:r>
    </w:p>
    <w:p w14:paraId="7FE3BFC4">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（一）高层建筑质量安全鉴定包含但不限于：</w:t>
      </w:r>
    </w:p>
    <w:p w14:paraId="1B959ED5">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依据《建筑结构检测技术标准》、《砌体工程现场检测技术标准》等相关规范要求对该工程进行周边环境调查、地基基础检查、房屋整体倾斜测量、结构构件变形测量、结构体系调查、结构损伤检测、轴线距离测量、构件截面尺寸测量、混凝土强度检测、砖块强度检测、砌筑砂浆检测、围护结构检查；</w:t>
      </w:r>
    </w:p>
    <w:p w14:paraId="1C882B6F">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2.根据收集的检测数据以及《砌体结构设计规范》、《建筑结构荷载规范》等相关规范的要求，对该工程所检房屋进行结构建模计算；</w:t>
      </w:r>
    </w:p>
    <w:p w14:paraId="476B7D9A">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3.综合现场检测及建模计算结果，依据《可靠性鉴定标准》，记录检查情况并列明房屋质量安全问题、出具具体整改意见和措施，</w:t>
      </w:r>
      <w:bookmarkStart w:id="52" w:name="OLE_LINK6"/>
      <w:bookmarkStart w:id="53" w:name="OLE_LINK5"/>
      <w:r>
        <w:rPr>
          <w:rFonts w:hint="eastAsia" w:ascii="仿宋" w:hAnsi="仿宋" w:eastAsia="仿宋"/>
          <w:color w:val="auto"/>
          <w:sz w:val="24"/>
          <w:highlight w:val="none"/>
        </w:rPr>
        <w:t>指导建设单位制定房屋安全隐患整改方案，</w:t>
      </w:r>
      <w:bookmarkEnd w:id="52"/>
      <w:bookmarkEnd w:id="53"/>
      <w:r>
        <w:rPr>
          <w:rFonts w:hint="eastAsia" w:ascii="仿宋" w:hAnsi="仿宋" w:eastAsia="仿宋"/>
          <w:color w:val="auto"/>
          <w:sz w:val="24"/>
          <w:highlight w:val="none"/>
        </w:rPr>
        <w:t>待建设单位整改完成，房屋质量安全等级达到A/B级后，出具房屋安全性鉴定报告。其服务成果必须达到国家相关服务标准，服务过程中不得减少国家相关服务规定中所要求的服务内容。</w:t>
      </w:r>
    </w:p>
    <w:p w14:paraId="25E12253">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（二）消防安全评估服务内容及要求</w:t>
      </w:r>
    </w:p>
    <w:p w14:paraId="5ED3EAEB">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依据国家及地方消防安全相关法律法规、标准规范开展评估工作。通过对该工程的建筑防火、建筑消防设施和消防安全管理等方面进行检查,记录检查情况并列明消防安全问题、火灾隐患的整改意见和完善消防管理的措施,指导单位制定火灾隐患整改方案, 指导建设单位制定火灾隐患整改方案,待建设单位整改合格后，出具《消防安全评估报告》。</w:t>
      </w:r>
    </w:p>
    <w:p w14:paraId="0A70A494">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 xml:space="preserve">（三）响应供应商成交后须在成交通知书发出之日起7个工作日内到如皋市住房和城乡建设局成功进行备案，备案成功后方可履行签订合同，否则将取消成交资格。须提供承诺函，格式自拟。  </w:t>
      </w:r>
    </w:p>
    <w:p w14:paraId="76033B78">
      <w:pPr>
        <w:ind w:left="482"/>
        <w:rPr>
          <w:rFonts w:ascii="仿宋" w:hAnsi="仿宋" w:eastAsia="仿宋"/>
          <w:b/>
          <w:color w:val="auto"/>
          <w:sz w:val="24"/>
          <w:highlight w:val="none"/>
        </w:rPr>
      </w:pPr>
      <w:r>
        <w:rPr>
          <w:rFonts w:hint="eastAsia" w:ascii="仿宋" w:hAnsi="仿宋" w:eastAsia="仿宋"/>
          <w:b/>
          <w:color w:val="auto"/>
          <w:sz w:val="24"/>
          <w:highlight w:val="none"/>
        </w:rPr>
        <w:t>第三条  合同总金额</w:t>
      </w:r>
    </w:p>
    <w:p w14:paraId="285E5026">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本合同服务总金额：￥元。</w:t>
      </w:r>
    </w:p>
    <w:p w14:paraId="66777B09">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大写：元。</w:t>
      </w:r>
    </w:p>
    <w:p w14:paraId="6990BAD8">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分项价款在《服务一览表》中有明确规定。</w:t>
      </w:r>
    </w:p>
    <w:p w14:paraId="156C9E47">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本合同总价款包括服务期间必须的日常易耗品、工具、调试费、培训费等相关费用。</w:t>
      </w:r>
    </w:p>
    <w:p w14:paraId="2E83833F">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本合同执行期内因工作量变化而引起的服务费用的变动，在双方事先协商一致的前提下签订补充合同，但因此而增加的服务费用不得超过原成交金额的10%。</w:t>
      </w:r>
    </w:p>
    <w:p w14:paraId="4A54882D">
      <w:pPr>
        <w:spacing w:line="500" w:lineRule="exact"/>
        <w:ind w:firstLine="482" w:firstLineChars="200"/>
        <w:rPr>
          <w:rFonts w:ascii="仿宋" w:hAnsi="仿宋" w:eastAsia="仿宋"/>
          <w:b/>
          <w:color w:val="auto"/>
          <w:sz w:val="24"/>
          <w:highlight w:val="none"/>
        </w:rPr>
      </w:pPr>
      <w:r>
        <w:rPr>
          <w:rFonts w:hint="eastAsia" w:ascii="仿宋" w:hAnsi="仿宋" w:eastAsia="仿宋"/>
          <w:b/>
          <w:color w:val="auto"/>
          <w:sz w:val="24"/>
          <w:highlight w:val="none"/>
        </w:rPr>
        <w:t>第四条  服务要求</w:t>
      </w:r>
    </w:p>
    <w:p w14:paraId="56B1C5CC">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（一）服务要求</w:t>
      </w:r>
    </w:p>
    <w:p w14:paraId="1E6C6F4E">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1.成交供应商根据国家相关规范和采购人要求，完成高层建筑质量安全鉴定和消防安全评估，形成《房屋安全鉴定报告》</w:t>
      </w:r>
      <w:r>
        <w:rPr>
          <w:rFonts w:hint="eastAsia" w:ascii="仿宋" w:hAnsi="仿宋" w:eastAsia="仿宋" w:cs="仿宋"/>
          <w:color w:val="auto"/>
          <w:sz w:val="28"/>
          <w:szCs w:val="28"/>
          <w:highlight w:val="none"/>
        </w:rPr>
        <w:t>；</w:t>
      </w:r>
      <w:r>
        <w:rPr>
          <w:rFonts w:hint="eastAsia" w:ascii="仿宋" w:hAnsi="仿宋" w:eastAsia="仿宋"/>
          <w:color w:val="auto"/>
          <w:sz w:val="24"/>
          <w:highlight w:val="none"/>
        </w:rPr>
        <w:t>出具《消防安全评估报告》。。</w:t>
      </w:r>
    </w:p>
    <w:p w14:paraId="19A3BE8A">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2.本项目所涉及的高空作业或其它特种作业，响应供应商拟安排的相关专业人员须具有相应的资格证或操作证。须提供相关证书复印件。</w:t>
      </w:r>
    </w:p>
    <w:p w14:paraId="28E468F8">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3.本项目所涉及的器械（如吊篮、脚手架等），成交后签订合同前供应商须提供相应的检验合格证、方案安全论证等资料；</w:t>
      </w:r>
    </w:p>
    <w:p w14:paraId="2EE711FC">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4.供应商须派驻专职安全员，成交后签订合同前供应商须提供专职安全员名单。因安全措施落实不到位造成安全事故的，成交供应商承担全部责任，对采购人或第三方造成损害的由成交供应商负责赔偿。</w:t>
      </w:r>
    </w:p>
    <w:p w14:paraId="3EAD2290">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（二）质量标准</w:t>
      </w:r>
    </w:p>
    <w:p w14:paraId="51F4046D">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1.所有成交标准按国家标准执行，无国家标准的，按行业标准执行，无国家和行业标准的，按企业标准执行；但在采购文件中有特别要求的，按采购文件中规定的要求执行，并且符合相关法律、法规规定的要求。</w:t>
      </w:r>
    </w:p>
    <w:p w14:paraId="5FA19083">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2.在项目采购或实施过程中，如国家标准修改，应按照新国家标准实施；如本谈判文件规定高于国家标准，无论新旧标准，均按本谈判文件规定实施；如本谈判文件规定低于国家标准，无论新旧标准，均按国家标准规定实施。如本谈判文件内有内容相互矛盾，以高标准高要求的为准。以上有关风险等由供应商自行考虑并承担。</w:t>
      </w:r>
    </w:p>
    <w:p w14:paraId="1FE508C3">
      <w:pPr>
        <w:ind w:left="482"/>
        <w:rPr>
          <w:rFonts w:ascii="仿宋" w:hAnsi="仿宋" w:eastAsia="仿宋"/>
          <w:b/>
          <w:color w:val="auto"/>
          <w:sz w:val="24"/>
          <w:highlight w:val="none"/>
        </w:rPr>
      </w:pPr>
      <w:r>
        <w:rPr>
          <w:rFonts w:hint="eastAsia" w:ascii="仿宋" w:hAnsi="仿宋" w:eastAsia="仿宋"/>
          <w:b/>
          <w:color w:val="auto"/>
          <w:sz w:val="24"/>
          <w:highlight w:val="none"/>
        </w:rPr>
        <w:t>第五条  付款方式</w:t>
      </w:r>
    </w:p>
    <w:p w14:paraId="118292D7">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1.本合同项下所有款项均以人民币支付。</w:t>
      </w:r>
    </w:p>
    <w:p w14:paraId="6239B5A4">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2.乙方向甲方提交下列文件材料，经甲方审核无误后支付采购资金：</w:t>
      </w:r>
    </w:p>
    <w:p w14:paraId="32429511">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（1）经甲方确认的发票；</w:t>
      </w:r>
    </w:p>
    <w:p w14:paraId="470BA821">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（2）经甲乙双方确认签订的《验收报告》（或按月考核表）；</w:t>
      </w:r>
    </w:p>
    <w:p w14:paraId="52140626">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（3）其他材料。</w:t>
      </w:r>
    </w:p>
    <w:p w14:paraId="52D8E011">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3.款项的支付进度以招标采购文件的有关规定为准。如招标采购文件未作特别规定，则付款进度应符合如下约定：</w:t>
      </w:r>
    </w:p>
    <w:p w14:paraId="263C8D45">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成交供应商按照要求完成全部技术服务工作且形成《房屋安全鉴定报告》、《消防安全评估报告》，经采购人验收合格后支付中标合同金额的100%；支付前，成交供应商均须出具税务部门开具的正式发票。</w:t>
      </w:r>
    </w:p>
    <w:p w14:paraId="48FF9C70">
      <w:pPr>
        <w:ind w:left="482"/>
        <w:rPr>
          <w:rFonts w:ascii="仿宋" w:hAnsi="仿宋" w:eastAsia="仿宋"/>
          <w:b/>
          <w:color w:val="auto"/>
          <w:sz w:val="24"/>
          <w:highlight w:val="none"/>
        </w:rPr>
      </w:pPr>
      <w:r>
        <w:rPr>
          <w:rFonts w:hint="eastAsia" w:ascii="仿宋" w:hAnsi="仿宋" w:eastAsia="仿宋"/>
          <w:b/>
          <w:color w:val="auto"/>
          <w:sz w:val="24"/>
          <w:highlight w:val="none"/>
        </w:rPr>
        <w:t>第六条  权利义务和质量保证</w:t>
      </w:r>
    </w:p>
    <w:p w14:paraId="6B15BF07">
      <w:pPr>
        <w:pStyle w:val="5"/>
        <w:tabs>
          <w:tab w:val="left" w:pos="0"/>
        </w:tabs>
        <w:spacing w:line="24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p>
    <w:p w14:paraId="0C98F2E9">
      <w:pPr>
        <w:pStyle w:val="5"/>
        <w:spacing w:line="240" w:lineRule="auto"/>
        <w:ind w:firstLine="480" w:firstLineChars="200"/>
        <w:rPr>
          <w:rFonts w:ascii="仿宋" w:hAnsi="仿宋" w:eastAsia="仿宋"/>
          <w:b/>
          <w:color w:val="auto"/>
          <w:sz w:val="24"/>
          <w:highlight w:val="none"/>
        </w:rPr>
      </w:pPr>
      <w:r>
        <w:rPr>
          <w:rFonts w:hint="eastAsia" w:ascii="仿宋" w:hAnsi="仿宋" w:eastAsia="仿宋"/>
          <w:color w:val="auto"/>
          <w:sz w:val="24"/>
          <w:szCs w:val="24"/>
          <w:highlight w:val="none"/>
        </w:rPr>
        <w:t>2.乙方保证所提供的服务或其任何一部分均不会侵犯任何第三方的专利权、商标权或著作权。</w:t>
      </w:r>
      <w:r>
        <w:rPr>
          <w:rFonts w:ascii="仿宋" w:hAnsi="仿宋" w:eastAsia="仿宋"/>
          <w:color w:val="auto"/>
          <w:sz w:val="24"/>
          <w:szCs w:val="24"/>
          <w:highlight w:val="none"/>
        </w:rPr>
        <w:t>一旦出现侵权，</w:t>
      </w:r>
      <w:r>
        <w:rPr>
          <w:rFonts w:hint="eastAsia" w:ascii="仿宋" w:hAnsi="仿宋" w:eastAsia="仿宋"/>
          <w:color w:val="auto"/>
          <w:sz w:val="24"/>
          <w:szCs w:val="24"/>
          <w:highlight w:val="none"/>
        </w:rPr>
        <w:t>索赔或诉讼</w:t>
      </w:r>
      <w:r>
        <w:rPr>
          <w:rFonts w:ascii="仿宋" w:hAnsi="仿宋" w:eastAsia="仿宋"/>
          <w:color w:val="auto"/>
          <w:sz w:val="24"/>
          <w:szCs w:val="24"/>
          <w:highlight w:val="none"/>
        </w:rPr>
        <w:t>，乙方应承担全部责任。</w:t>
      </w:r>
      <w:r>
        <w:rPr>
          <w:rFonts w:hint="eastAsia" w:ascii="仿宋" w:hAnsi="仿宋" w:eastAsia="仿宋"/>
          <w:color w:val="auto"/>
          <w:sz w:val="24"/>
          <w:szCs w:val="24"/>
          <w:highlight w:val="none"/>
        </w:rPr>
        <w:t>乙方保证服务不存在危及人身及财产安全的隐患，不存在违反国家法规、法令、法律以及行业规范所要求的有关安全条款，否则应承担全部法律责任。</w:t>
      </w:r>
    </w:p>
    <w:p w14:paraId="7865C3EA">
      <w:pPr>
        <w:ind w:left="482"/>
        <w:rPr>
          <w:rFonts w:ascii="仿宋" w:hAnsi="仿宋" w:eastAsia="仿宋"/>
          <w:b/>
          <w:color w:val="auto"/>
          <w:sz w:val="24"/>
          <w:highlight w:val="none"/>
        </w:rPr>
      </w:pPr>
      <w:r>
        <w:rPr>
          <w:rFonts w:hint="eastAsia" w:ascii="仿宋" w:hAnsi="仿宋" w:eastAsia="仿宋"/>
          <w:b/>
          <w:color w:val="auto"/>
          <w:sz w:val="24"/>
          <w:highlight w:val="none"/>
        </w:rPr>
        <w:t>第七条  验收</w:t>
      </w:r>
    </w:p>
    <w:p w14:paraId="3F35E545">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1.服务期限：  至 。</w:t>
      </w:r>
    </w:p>
    <w:p w14:paraId="1E307D82">
      <w:pPr>
        <w:ind w:firstLine="720" w:firstLineChars="300"/>
        <w:rPr>
          <w:rFonts w:ascii="仿宋" w:hAnsi="仿宋" w:eastAsia="仿宋"/>
          <w:color w:val="auto"/>
          <w:sz w:val="24"/>
          <w:highlight w:val="none"/>
        </w:rPr>
      </w:pPr>
      <w:r>
        <w:rPr>
          <w:rFonts w:hint="eastAsia" w:ascii="仿宋" w:hAnsi="仿宋" w:eastAsia="仿宋"/>
          <w:color w:val="auto"/>
          <w:sz w:val="24"/>
          <w:highlight w:val="none"/>
        </w:rPr>
        <w:t>服务地点：甲方指定地点 。</w:t>
      </w:r>
    </w:p>
    <w:p w14:paraId="12E82675">
      <w:pPr>
        <w:ind w:firstLine="720" w:firstLineChars="300"/>
        <w:rPr>
          <w:rFonts w:ascii="仿宋" w:hAnsi="仿宋" w:eastAsia="仿宋"/>
          <w:color w:val="auto"/>
          <w:sz w:val="24"/>
          <w:highlight w:val="none"/>
          <w:u w:val="single"/>
        </w:rPr>
      </w:pPr>
      <w:r>
        <w:rPr>
          <w:rFonts w:hint="eastAsia" w:ascii="仿宋" w:hAnsi="仿宋" w:eastAsia="仿宋"/>
          <w:color w:val="auto"/>
          <w:sz w:val="24"/>
          <w:highlight w:val="none"/>
        </w:rPr>
        <w:t>验收时间： 。</w:t>
      </w:r>
    </w:p>
    <w:p w14:paraId="4D13BC79">
      <w:pPr>
        <w:ind w:firstLine="720" w:firstLineChars="300"/>
        <w:rPr>
          <w:rFonts w:ascii="仿宋" w:hAnsi="仿宋" w:eastAsia="仿宋"/>
          <w:color w:val="auto"/>
          <w:sz w:val="24"/>
          <w:highlight w:val="none"/>
        </w:rPr>
      </w:pPr>
      <w:r>
        <w:rPr>
          <w:rFonts w:hint="eastAsia" w:ascii="仿宋" w:hAnsi="仿宋" w:eastAsia="仿宋"/>
          <w:color w:val="auto"/>
          <w:sz w:val="24"/>
          <w:highlight w:val="none"/>
        </w:rPr>
        <w:t>验收地点： 。</w:t>
      </w:r>
    </w:p>
    <w:p w14:paraId="7E99D2CB">
      <w:pPr>
        <w:pStyle w:val="5"/>
        <w:tabs>
          <w:tab w:val="left" w:pos="0"/>
        </w:tabs>
        <w:spacing w:line="24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 乙方应对提供的服务成果作出全面自查和整理，并列出清单，作为甲方验收和使用的服务条件依据，清单应随提供的服务成果交给甲方。</w:t>
      </w:r>
    </w:p>
    <w:p w14:paraId="0BDDE95B">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3.验收时，甲乙双方必须同时在场，</w:t>
      </w:r>
      <w:r>
        <w:rPr>
          <w:rFonts w:ascii="仿宋" w:hAnsi="仿宋" w:eastAsia="仿宋"/>
          <w:color w:val="auto"/>
          <w:sz w:val="24"/>
          <w:highlight w:val="none"/>
        </w:rPr>
        <w:t>乙方所</w:t>
      </w:r>
      <w:r>
        <w:rPr>
          <w:rFonts w:hint="eastAsia" w:ascii="仿宋" w:hAnsi="仿宋" w:eastAsia="仿宋"/>
          <w:color w:val="auto"/>
          <w:sz w:val="24"/>
          <w:highlight w:val="none"/>
        </w:rPr>
        <w:t>提供</w:t>
      </w:r>
      <w:r>
        <w:rPr>
          <w:rFonts w:ascii="仿宋" w:hAnsi="仿宋" w:eastAsia="仿宋"/>
          <w:color w:val="auto"/>
          <w:sz w:val="24"/>
          <w:highlight w:val="none"/>
        </w:rPr>
        <w:t>的</w:t>
      </w:r>
      <w:r>
        <w:rPr>
          <w:rFonts w:hint="eastAsia" w:ascii="仿宋" w:hAnsi="仿宋" w:eastAsia="仿宋"/>
          <w:color w:val="auto"/>
          <w:sz w:val="24"/>
          <w:highlight w:val="none"/>
        </w:rPr>
        <w:t>服务</w:t>
      </w:r>
      <w:r>
        <w:rPr>
          <w:rFonts w:ascii="仿宋" w:hAnsi="仿宋" w:eastAsia="仿宋"/>
          <w:color w:val="auto"/>
          <w:sz w:val="24"/>
          <w:highlight w:val="none"/>
        </w:rPr>
        <w:t>不符合合同</w:t>
      </w:r>
      <w:r>
        <w:rPr>
          <w:rFonts w:hint="eastAsia" w:ascii="仿宋" w:hAnsi="仿宋" w:eastAsia="仿宋"/>
          <w:color w:val="auto"/>
          <w:sz w:val="24"/>
          <w:highlight w:val="none"/>
        </w:rPr>
        <w:t>内容</w:t>
      </w:r>
      <w:r>
        <w:rPr>
          <w:rFonts w:ascii="仿宋" w:hAnsi="仿宋" w:eastAsia="仿宋"/>
          <w:color w:val="auto"/>
          <w:sz w:val="24"/>
          <w:highlight w:val="none"/>
        </w:rPr>
        <w:t>规定的，甲方有权</w:t>
      </w:r>
      <w:r>
        <w:rPr>
          <w:rFonts w:hint="eastAsia" w:ascii="仿宋" w:hAnsi="仿宋" w:eastAsia="仿宋"/>
          <w:color w:val="auto"/>
          <w:sz w:val="24"/>
          <w:highlight w:val="none"/>
        </w:rPr>
        <w:t>拒绝验收。乙方应及时按本合同内容规定和甲方要求免费进行整改，直至验收合格，方视为乙方按本合同规定完成服务</w:t>
      </w:r>
      <w:r>
        <w:rPr>
          <w:rFonts w:ascii="仿宋" w:hAnsi="仿宋" w:eastAsia="仿宋"/>
          <w:color w:val="auto"/>
          <w:sz w:val="24"/>
          <w:highlight w:val="none"/>
        </w:rPr>
        <w:t>。</w:t>
      </w:r>
      <w:r>
        <w:rPr>
          <w:rFonts w:hint="eastAsia" w:ascii="仿宋" w:hAnsi="仿宋" w:eastAsia="仿宋"/>
          <w:color w:val="auto"/>
          <w:sz w:val="24"/>
          <w:highlight w:val="none"/>
        </w:rPr>
        <w:t>验收合格的，填写《履约验收报告》。在经过两次限期整改后，服务仍达不到合同文件规定内容的，甲方有权拒收，并可以解除合同；由此引起甲方损失及赔偿责任由乙方承担。</w:t>
      </w:r>
    </w:p>
    <w:p w14:paraId="6922ACEE">
      <w:pPr>
        <w:snapToGrid w:val="0"/>
        <w:ind w:firstLine="482"/>
        <w:textAlignment w:val="baseline"/>
        <w:rPr>
          <w:rFonts w:ascii="仿宋" w:hAnsi="仿宋" w:eastAsia="仿宋"/>
          <w:color w:val="auto"/>
          <w:sz w:val="24"/>
          <w:highlight w:val="none"/>
        </w:rPr>
      </w:pPr>
      <w:r>
        <w:rPr>
          <w:rFonts w:hint="eastAsia" w:ascii="仿宋" w:hAnsi="仿宋" w:eastAsia="仿宋"/>
          <w:color w:val="auto"/>
          <w:sz w:val="24"/>
          <w:highlight w:val="none"/>
        </w:rPr>
        <w:t>4.甲方可以视项目规模或复杂情况聘请专业人员参与验收，</w:t>
      </w:r>
      <w:r>
        <w:rPr>
          <w:rFonts w:ascii="仿宋" w:hAnsi="仿宋" w:eastAsia="仿宋"/>
          <w:color w:val="auto"/>
          <w:sz w:val="24"/>
          <w:highlight w:val="none"/>
        </w:rPr>
        <w:t>大型或复杂项目</w:t>
      </w:r>
      <w:r>
        <w:rPr>
          <w:rFonts w:hint="eastAsia" w:ascii="仿宋" w:hAnsi="仿宋" w:eastAsia="仿宋"/>
          <w:color w:val="auto"/>
          <w:sz w:val="24"/>
          <w:highlight w:val="none"/>
        </w:rPr>
        <w:t>，以及涉及专业服务内容的应当</w:t>
      </w:r>
      <w:r>
        <w:rPr>
          <w:rFonts w:ascii="仿宋" w:hAnsi="仿宋" w:eastAsia="仿宋"/>
          <w:color w:val="auto"/>
          <w:sz w:val="24"/>
          <w:highlight w:val="none"/>
        </w:rPr>
        <w:t>邀请国家认可的第三方质量检测机构参与验收。</w:t>
      </w:r>
    </w:p>
    <w:p w14:paraId="679A8AD3">
      <w:pPr>
        <w:snapToGrid w:val="0"/>
        <w:ind w:firstLine="482"/>
        <w:textAlignment w:val="baseline"/>
        <w:rPr>
          <w:rFonts w:ascii="仿宋" w:hAnsi="仿宋" w:eastAsia="仿宋"/>
          <w:color w:val="auto"/>
          <w:sz w:val="24"/>
          <w:highlight w:val="none"/>
        </w:rPr>
      </w:pPr>
      <w:r>
        <w:rPr>
          <w:rFonts w:hint="eastAsia" w:ascii="仿宋" w:hAnsi="仿宋" w:eastAsia="仿宋"/>
          <w:color w:val="auto"/>
          <w:sz w:val="24"/>
          <w:highlight w:val="none"/>
        </w:rPr>
        <w:t>5.如项目实施情况需要分阶段验收，则根据实际情况分阶段出具《履约验收报告》。</w:t>
      </w:r>
    </w:p>
    <w:p w14:paraId="7927C89A">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6.如果合同双方对《履约验收报告》有分歧，双方须于出现分歧后天内给对方书面声明，以陈述己方的理由及要求，并附有关证据。分歧应通过协商解决。</w:t>
      </w:r>
    </w:p>
    <w:p w14:paraId="2E9EB020">
      <w:pPr>
        <w:ind w:left="482"/>
        <w:rPr>
          <w:rFonts w:ascii="仿宋" w:hAnsi="仿宋" w:eastAsia="仿宋"/>
          <w:b/>
          <w:color w:val="auto"/>
          <w:sz w:val="24"/>
          <w:highlight w:val="none"/>
        </w:rPr>
      </w:pPr>
      <w:r>
        <w:rPr>
          <w:rFonts w:hint="eastAsia" w:ascii="仿宋" w:hAnsi="仿宋" w:eastAsia="仿宋"/>
          <w:b/>
          <w:color w:val="auto"/>
          <w:sz w:val="24"/>
          <w:highlight w:val="none"/>
        </w:rPr>
        <w:t>第八条  项目管理服务</w:t>
      </w:r>
    </w:p>
    <w:p w14:paraId="737EDC5B">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乙方要指定不少于一人全权全程负责本项目服务的落实，包括服务的咨询、执行和后续工作。</w:t>
      </w:r>
    </w:p>
    <w:p w14:paraId="21D9CF43">
      <w:pPr>
        <w:snapToGrid w:val="0"/>
        <w:ind w:firstLine="481"/>
        <w:textAlignment w:val="baseline"/>
        <w:rPr>
          <w:rFonts w:ascii="仿宋" w:hAnsi="仿宋" w:eastAsia="仿宋"/>
          <w:color w:val="auto"/>
          <w:sz w:val="24"/>
          <w:highlight w:val="none"/>
        </w:rPr>
      </w:pPr>
      <w:r>
        <w:rPr>
          <w:rFonts w:hint="eastAsia" w:ascii="仿宋" w:hAnsi="仿宋" w:eastAsia="仿宋"/>
          <w:color w:val="auto"/>
          <w:sz w:val="24"/>
          <w:highlight w:val="none"/>
        </w:rPr>
        <w:t>乙方</w:t>
      </w:r>
      <w:r>
        <w:rPr>
          <w:rFonts w:ascii="仿宋" w:hAnsi="仿宋" w:eastAsia="仿宋"/>
          <w:color w:val="auto"/>
          <w:sz w:val="24"/>
          <w:highlight w:val="none"/>
        </w:rPr>
        <w:t>项目负责人</w:t>
      </w:r>
      <w:r>
        <w:rPr>
          <w:rFonts w:hint="eastAsia" w:ascii="仿宋" w:hAnsi="仿宋" w:eastAsia="仿宋"/>
          <w:color w:val="auto"/>
          <w:sz w:val="24"/>
          <w:highlight w:val="none"/>
        </w:rPr>
        <w:t>姓名</w:t>
      </w:r>
      <w:r>
        <w:rPr>
          <w:rFonts w:ascii="仿宋" w:hAnsi="仿宋" w:eastAsia="仿宋"/>
          <w:color w:val="auto"/>
          <w:sz w:val="24"/>
          <w:highlight w:val="none"/>
        </w:rPr>
        <w:t>：；联系电话：。</w:t>
      </w:r>
    </w:p>
    <w:p w14:paraId="6009A9EB">
      <w:pPr>
        <w:snapToGrid w:val="0"/>
        <w:ind w:firstLine="481"/>
        <w:textAlignment w:val="baseline"/>
        <w:rPr>
          <w:rFonts w:ascii="仿宋" w:hAnsi="仿宋" w:eastAsia="仿宋"/>
          <w:color w:val="auto"/>
          <w:sz w:val="24"/>
          <w:highlight w:val="none"/>
        </w:rPr>
      </w:pPr>
      <w:r>
        <w:rPr>
          <w:rFonts w:hint="eastAsia" w:ascii="仿宋" w:hAnsi="仿宋" w:eastAsia="仿宋"/>
          <w:color w:val="auto"/>
          <w:sz w:val="24"/>
          <w:highlight w:val="none"/>
        </w:rPr>
        <w:t>甲方</w:t>
      </w:r>
      <w:r>
        <w:rPr>
          <w:rFonts w:ascii="仿宋" w:hAnsi="仿宋" w:eastAsia="仿宋"/>
          <w:color w:val="auto"/>
          <w:sz w:val="24"/>
          <w:highlight w:val="none"/>
        </w:rPr>
        <w:t>项目负责人</w:t>
      </w:r>
      <w:r>
        <w:rPr>
          <w:rFonts w:hint="eastAsia" w:ascii="仿宋" w:hAnsi="仿宋" w:eastAsia="仿宋"/>
          <w:color w:val="auto"/>
          <w:sz w:val="24"/>
          <w:highlight w:val="none"/>
        </w:rPr>
        <w:t>姓名：；联系电话：。</w:t>
      </w:r>
    </w:p>
    <w:p w14:paraId="4980C1D7">
      <w:pPr>
        <w:ind w:firstLine="472" w:firstLineChars="196"/>
        <w:rPr>
          <w:rFonts w:ascii="仿宋" w:hAnsi="仿宋" w:eastAsia="仿宋"/>
          <w:b/>
          <w:color w:val="auto"/>
          <w:sz w:val="24"/>
          <w:highlight w:val="none"/>
        </w:rPr>
      </w:pPr>
      <w:r>
        <w:rPr>
          <w:rFonts w:hint="eastAsia" w:ascii="仿宋" w:hAnsi="仿宋" w:eastAsia="仿宋"/>
          <w:b/>
          <w:color w:val="auto"/>
          <w:sz w:val="24"/>
          <w:highlight w:val="none"/>
        </w:rPr>
        <w:t>第九条  售后服务</w:t>
      </w:r>
    </w:p>
    <w:p w14:paraId="5DDC047B">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1.乙方提供服务的质量保证期为自服务通过最终验收起个月。若国家有明确规定的质量保证期高于此质量保证期的，执行国家规定。</w:t>
      </w:r>
    </w:p>
    <w:p w14:paraId="06B2289B">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2.服务期内，乙方应提供相关服务支持。对甲方所反映的任何服务问题在</w:t>
      </w:r>
      <w:r>
        <w:rPr>
          <w:rFonts w:hint="eastAsia" w:ascii="仿宋" w:hAnsi="仿宋" w:eastAsia="仿宋"/>
          <w:color w:val="auto"/>
          <w:sz w:val="24"/>
          <w:highlight w:val="none"/>
          <w:u w:val="single"/>
        </w:rPr>
        <w:t>××</w:t>
      </w:r>
      <w:r>
        <w:rPr>
          <w:rFonts w:hint="eastAsia" w:ascii="仿宋" w:hAnsi="仿宋" w:eastAsia="仿宋"/>
          <w:color w:val="auto"/>
          <w:sz w:val="24"/>
          <w:highlight w:val="none"/>
        </w:rPr>
        <w:t>日（小时）之内做出及时响应，在日（小时）之内赶到现场实地解决问题。若问题在工作日（小时）后仍无法解决，乙方应在日（小时）内免费提供服务的补偿、替换方案，直至服务恢复正常。</w:t>
      </w:r>
    </w:p>
    <w:p w14:paraId="69A4BD6A">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3.乙方必须遵守甲方的有关管理制度、操作规程。对于乙方违规操作造成甲方损失的，由乙方按照本合同第十二条的约定承担赔偿责任。</w:t>
      </w:r>
    </w:p>
    <w:p w14:paraId="3F2A3E30">
      <w:pPr>
        <w:ind w:left="482"/>
        <w:rPr>
          <w:rFonts w:ascii="仿宋" w:hAnsi="仿宋" w:eastAsia="仿宋"/>
          <w:b/>
          <w:color w:val="auto"/>
          <w:sz w:val="24"/>
          <w:highlight w:val="none"/>
        </w:rPr>
      </w:pPr>
      <w:r>
        <w:rPr>
          <w:rFonts w:hint="eastAsia" w:ascii="仿宋" w:hAnsi="仿宋" w:eastAsia="仿宋"/>
          <w:b/>
          <w:color w:val="auto"/>
          <w:sz w:val="24"/>
          <w:highlight w:val="none"/>
        </w:rPr>
        <w:t>第十条  分包</w:t>
      </w:r>
    </w:p>
    <w:p w14:paraId="68C9AAFA">
      <w:pPr>
        <w:ind w:firstLine="480" w:firstLineChars="200"/>
        <w:rPr>
          <w:rFonts w:ascii="仿宋" w:hAnsi="仿宋" w:eastAsia="仿宋"/>
          <w:strike/>
          <w:color w:val="auto"/>
          <w:sz w:val="24"/>
          <w:highlight w:val="none"/>
        </w:rPr>
      </w:pPr>
      <w:r>
        <w:rPr>
          <w:rFonts w:hint="eastAsia" w:ascii="仿宋" w:hAnsi="仿宋" w:eastAsia="仿宋"/>
          <w:color w:val="auto"/>
          <w:sz w:val="24"/>
          <w:highlight w:val="none"/>
        </w:rPr>
        <w:t>除采购文件事先说明、且经甲方事先书面同意外，乙方不得分包、转包其应履行的合同义务。</w:t>
      </w:r>
    </w:p>
    <w:p w14:paraId="17FCAFFE">
      <w:pPr>
        <w:ind w:firstLine="482" w:firstLineChars="200"/>
        <w:rPr>
          <w:rFonts w:ascii="仿宋" w:hAnsi="仿宋" w:eastAsia="仿宋"/>
          <w:b/>
          <w:color w:val="auto"/>
          <w:sz w:val="24"/>
          <w:highlight w:val="none"/>
        </w:rPr>
      </w:pPr>
      <w:r>
        <w:rPr>
          <w:rFonts w:hint="eastAsia" w:ascii="仿宋" w:hAnsi="仿宋" w:eastAsia="仿宋"/>
          <w:b/>
          <w:color w:val="auto"/>
          <w:sz w:val="24"/>
          <w:highlight w:val="none"/>
        </w:rPr>
        <w:t>第十一条  合同的生效</w:t>
      </w:r>
    </w:p>
    <w:p w14:paraId="531AFC7B">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1.本合同经甲乙双方授权代表签字并加盖公章或合同专用章后生效。</w:t>
      </w:r>
    </w:p>
    <w:p w14:paraId="383F52E9">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2.生效后，除《政府采购法》第49条、第50条第二款规定的情形外，甲乙双方不得擅自变更、中止或终止合同。</w:t>
      </w:r>
    </w:p>
    <w:p w14:paraId="2DB3AF33">
      <w:pPr>
        <w:ind w:left="482"/>
        <w:rPr>
          <w:rFonts w:ascii="仿宋" w:hAnsi="仿宋" w:eastAsia="仿宋"/>
          <w:b/>
          <w:color w:val="auto"/>
          <w:sz w:val="24"/>
          <w:highlight w:val="none"/>
        </w:rPr>
      </w:pPr>
      <w:r>
        <w:rPr>
          <w:rFonts w:hint="eastAsia" w:ascii="仿宋" w:hAnsi="仿宋" w:eastAsia="仿宋"/>
          <w:b/>
          <w:color w:val="auto"/>
          <w:sz w:val="24"/>
          <w:highlight w:val="none"/>
        </w:rPr>
        <w:t>第十二条  违约责任</w:t>
      </w:r>
    </w:p>
    <w:p w14:paraId="462EF550">
      <w:pPr>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1.乙方所提供的服务成果不符合本合同规定的，甲方有权拒收，乙方在得到甲方通知之日起</w:t>
      </w:r>
      <w:r>
        <w:rPr>
          <w:rFonts w:hint="eastAsia" w:ascii="仿宋" w:hAnsi="仿宋" w:eastAsia="仿宋" w:cs="仿宋"/>
          <w:color w:val="auto"/>
          <w:sz w:val="24"/>
          <w:highlight w:val="none"/>
          <w:u w:val="single"/>
        </w:rPr>
        <w:t>3</w:t>
      </w:r>
      <w:r>
        <w:rPr>
          <w:rFonts w:hint="eastAsia" w:ascii="仿宋" w:hAnsi="仿宋" w:eastAsia="仿宋" w:cs="仿宋"/>
          <w:color w:val="auto"/>
          <w:sz w:val="24"/>
          <w:highlight w:val="none"/>
        </w:rPr>
        <w:t>个工作日内采取补救措施，逾期仍未采取有效措施的，甲方有权要求乙方赔偿因此造成的损失；同时乙方应向甲方支付合同总价</w:t>
      </w:r>
      <w:r>
        <w:rPr>
          <w:rFonts w:hint="eastAsia" w:ascii="仿宋" w:hAnsi="仿宋" w:eastAsia="仿宋" w:cs="仿宋"/>
          <w:color w:val="auto"/>
          <w:sz w:val="24"/>
          <w:highlight w:val="none"/>
          <w:u w:val="single"/>
        </w:rPr>
        <w:t>10</w:t>
      </w:r>
      <w:r>
        <w:rPr>
          <w:rFonts w:hint="eastAsia" w:ascii="仿宋" w:hAnsi="仿宋" w:eastAsia="仿宋" w:cs="仿宋"/>
          <w:color w:val="auto"/>
          <w:sz w:val="24"/>
          <w:highlight w:val="none"/>
        </w:rPr>
        <w:t>％的违约金。</w:t>
      </w:r>
    </w:p>
    <w:p w14:paraId="7666AC15">
      <w:pPr>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乙方无正当理由逾期提供服务的，每逾期1天，乙方向甲方偿付合同总额的1 ‰的违约金。如乙方逾期达15天，甲方有权解除合同，甲方解除合同的通知自到达乙方时生效。在此情况下，乙方给甲方造成的实际损失高于违约金的，对高出违约金的部分乙方应予以赔偿。</w:t>
      </w:r>
    </w:p>
    <w:p w14:paraId="277F81A3">
      <w:pPr>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甲方未按照约定的时间和要求提供原材料、设备、场地、技术资料等的，乙方可以顺延项目日期:因甲方变更计划，提供的资料不准确，或者未按照期限提供必需的工作条件而造成返工，甲方应当按照乙方实际消耗的工作量增付费用。</w:t>
      </w:r>
    </w:p>
    <w:p w14:paraId="66C37704">
      <w:pPr>
        <w:ind w:firstLine="480" w:firstLineChars="200"/>
        <w:rPr>
          <w:rFonts w:ascii="仿宋" w:hAnsi="仿宋" w:eastAsia="仿宋"/>
          <w:color w:val="auto"/>
          <w:sz w:val="24"/>
          <w:highlight w:val="none"/>
        </w:rPr>
      </w:pPr>
      <w:r>
        <w:rPr>
          <w:rFonts w:hint="eastAsia" w:ascii="仿宋" w:hAnsi="仿宋" w:eastAsia="仿宋" w:cs="仿宋"/>
          <w:color w:val="auto"/>
          <w:sz w:val="24"/>
          <w:highlight w:val="none"/>
        </w:rPr>
        <w:t>4.其它未尽事宜，以《合同法》和《政府采购法》等有关法律法规规定为准，无相关规定的，双方协商解决。</w:t>
      </w:r>
      <w:r>
        <w:rPr>
          <w:rFonts w:hint="eastAsia" w:ascii="仿宋" w:hAnsi="仿宋" w:eastAsia="仿宋"/>
          <w:color w:val="auto"/>
          <w:sz w:val="24"/>
          <w:highlight w:val="none"/>
        </w:rPr>
        <w:t>。</w:t>
      </w:r>
    </w:p>
    <w:p w14:paraId="175FCC31">
      <w:pPr>
        <w:ind w:left="482"/>
        <w:rPr>
          <w:rFonts w:ascii="仿宋" w:hAnsi="仿宋" w:eastAsia="仿宋"/>
          <w:b/>
          <w:color w:val="auto"/>
          <w:sz w:val="24"/>
          <w:highlight w:val="none"/>
        </w:rPr>
      </w:pPr>
      <w:r>
        <w:rPr>
          <w:rFonts w:hint="eastAsia" w:ascii="仿宋" w:hAnsi="仿宋" w:eastAsia="仿宋"/>
          <w:b/>
          <w:color w:val="auto"/>
          <w:sz w:val="24"/>
          <w:highlight w:val="none"/>
        </w:rPr>
        <w:t>第十三条  不可抗力</w:t>
      </w:r>
    </w:p>
    <w:p w14:paraId="290FEC64">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p>
    <w:p w14:paraId="1C57D690">
      <w:pPr>
        <w:ind w:left="482"/>
        <w:rPr>
          <w:rFonts w:ascii="仿宋" w:hAnsi="仿宋" w:eastAsia="仿宋"/>
          <w:b/>
          <w:color w:val="auto"/>
          <w:sz w:val="24"/>
          <w:highlight w:val="none"/>
        </w:rPr>
      </w:pPr>
      <w:r>
        <w:rPr>
          <w:rFonts w:hint="eastAsia" w:ascii="仿宋" w:hAnsi="仿宋" w:eastAsia="仿宋"/>
          <w:b/>
          <w:color w:val="auto"/>
          <w:sz w:val="24"/>
          <w:highlight w:val="none"/>
        </w:rPr>
        <w:t>第十四条  争议的解决方式</w:t>
      </w:r>
    </w:p>
    <w:p w14:paraId="47E8185C">
      <w:pPr>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1.因服务质量问题发生争议的，应当邀请国家认可的质量检测机构对服务进行鉴定。服务符合标准的，鉴定费由甲方承担；不符合质量标准的，鉴定费由乙方承担。</w:t>
      </w:r>
    </w:p>
    <w:p w14:paraId="2222F232">
      <w:pPr>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2.在解释或者执行本合同的过程中发生争议时，双方应通过协商方式解决。</w:t>
      </w:r>
    </w:p>
    <w:p w14:paraId="11DA6929">
      <w:pPr>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3.经协商不能解决的争议，双方可选择以下第</w:t>
      </w:r>
      <w:r>
        <w:rPr>
          <w:rFonts w:hint="eastAsia" w:ascii="仿宋" w:hAnsi="仿宋" w:eastAsia="仿宋" w:cs="仿宋"/>
          <w:color w:val="auto"/>
          <w:sz w:val="24"/>
          <w:highlight w:val="none"/>
          <w:u w:val="single"/>
        </w:rPr>
        <w:t xml:space="preserve"> ① </w:t>
      </w:r>
      <w:r>
        <w:rPr>
          <w:rFonts w:hint="eastAsia" w:ascii="仿宋" w:hAnsi="仿宋" w:eastAsia="仿宋" w:cs="仿宋"/>
          <w:color w:val="auto"/>
          <w:sz w:val="24"/>
          <w:highlight w:val="none"/>
        </w:rPr>
        <w:t>种方式解决：</w:t>
      </w:r>
    </w:p>
    <w:p w14:paraId="06F2D90F">
      <w:pPr>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①向如皋市人民法院提起诉讼；</w:t>
      </w:r>
    </w:p>
    <w:p w14:paraId="255269F1">
      <w:pPr>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②向南通市仲裁委员会提出仲裁。</w:t>
      </w:r>
    </w:p>
    <w:p w14:paraId="64C6CBB5">
      <w:pPr>
        <w:ind w:firstLine="480" w:firstLineChars="200"/>
        <w:rPr>
          <w:rFonts w:ascii="仿宋" w:hAnsi="仿宋" w:eastAsia="仿宋"/>
          <w:color w:val="auto"/>
          <w:sz w:val="24"/>
          <w:highlight w:val="none"/>
        </w:rPr>
      </w:pPr>
      <w:r>
        <w:rPr>
          <w:rFonts w:hint="eastAsia" w:ascii="仿宋" w:hAnsi="仿宋" w:eastAsia="仿宋" w:cs="仿宋"/>
          <w:color w:val="auto"/>
          <w:sz w:val="24"/>
          <w:highlight w:val="none"/>
        </w:rPr>
        <w:t>4.在法院审理和仲裁期间，除有争议部分外，本合同其他部分可以履行的仍应按合同条款继续履行</w:t>
      </w:r>
      <w:r>
        <w:rPr>
          <w:rFonts w:hint="eastAsia" w:ascii="仿宋" w:hAnsi="仿宋" w:eastAsia="仿宋"/>
          <w:color w:val="auto"/>
          <w:sz w:val="24"/>
          <w:highlight w:val="none"/>
        </w:rPr>
        <w:t>。</w:t>
      </w:r>
    </w:p>
    <w:p w14:paraId="4C5FA05A">
      <w:pPr>
        <w:ind w:left="482"/>
        <w:rPr>
          <w:rFonts w:ascii="仿宋" w:hAnsi="仿宋" w:eastAsia="仿宋"/>
          <w:b/>
          <w:color w:val="auto"/>
          <w:sz w:val="24"/>
          <w:highlight w:val="none"/>
        </w:rPr>
      </w:pPr>
      <w:r>
        <w:rPr>
          <w:rFonts w:hint="eastAsia" w:ascii="仿宋" w:hAnsi="仿宋" w:eastAsia="仿宋"/>
          <w:b/>
          <w:color w:val="auto"/>
          <w:sz w:val="24"/>
          <w:highlight w:val="none"/>
        </w:rPr>
        <w:t>第十五条  其他</w:t>
      </w:r>
    </w:p>
    <w:p w14:paraId="03D943F6">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符合《政府采购法》第49条规定的，经双方协商，办理政府采购手续后，可签订补充合同，所签订的补充合同与本合同具有同等法律效力。</w:t>
      </w:r>
    </w:p>
    <w:p w14:paraId="1A26FC14">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本合同一式</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份，甲、乙双方各执</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份。</w:t>
      </w:r>
    </w:p>
    <w:p w14:paraId="5C9CBCAB">
      <w:pPr>
        <w:ind w:firstLine="480" w:firstLineChars="200"/>
        <w:rPr>
          <w:rFonts w:ascii="仿宋" w:hAnsi="仿宋" w:eastAsia="仿宋"/>
          <w:color w:val="auto"/>
          <w:sz w:val="24"/>
          <w:highlight w:val="none"/>
        </w:rPr>
      </w:pPr>
    </w:p>
    <w:tbl>
      <w:tblPr>
        <w:tblStyle w:val="11"/>
        <w:tblW w:w="0" w:type="auto"/>
        <w:tblInd w:w="0" w:type="dxa"/>
        <w:tblLayout w:type="autofit"/>
        <w:tblCellMar>
          <w:top w:w="0" w:type="dxa"/>
          <w:left w:w="108" w:type="dxa"/>
          <w:bottom w:w="0" w:type="dxa"/>
          <w:right w:w="108" w:type="dxa"/>
        </w:tblCellMar>
      </w:tblPr>
      <w:tblGrid>
        <w:gridCol w:w="4261"/>
        <w:gridCol w:w="4261"/>
      </w:tblGrid>
      <w:tr w14:paraId="4FBEFA44">
        <w:tblPrEx>
          <w:tblCellMar>
            <w:top w:w="0" w:type="dxa"/>
            <w:left w:w="108" w:type="dxa"/>
            <w:bottom w:w="0" w:type="dxa"/>
            <w:right w:w="108" w:type="dxa"/>
          </w:tblCellMar>
        </w:tblPrEx>
        <w:tc>
          <w:tcPr>
            <w:tcW w:w="4261" w:type="dxa"/>
          </w:tcPr>
          <w:p w14:paraId="0EA2CC9B">
            <w:pPr>
              <w:rPr>
                <w:rFonts w:ascii="仿宋" w:hAnsi="仿宋" w:eastAsia="仿宋"/>
                <w:color w:val="auto"/>
                <w:sz w:val="24"/>
                <w:highlight w:val="none"/>
              </w:rPr>
            </w:pPr>
            <w:r>
              <w:rPr>
                <w:rFonts w:hint="eastAsia" w:ascii="仿宋" w:hAnsi="仿宋" w:eastAsia="仿宋"/>
                <w:color w:val="auto"/>
                <w:sz w:val="24"/>
                <w:highlight w:val="none"/>
              </w:rPr>
              <w:t>甲方（公章）：</w:t>
            </w:r>
          </w:p>
          <w:p w14:paraId="2028B3D0">
            <w:pPr>
              <w:rPr>
                <w:rFonts w:ascii="仿宋" w:hAnsi="仿宋" w:eastAsia="仿宋"/>
                <w:color w:val="auto"/>
                <w:sz w:val="24"/>
                <w:highlight w:val="none"/>
              </w:rPr>
            </w:pPr>
            <w:r>
              <w:rPr>
                <w:rFonts w:hint="eastAsia" w:ascii="仿宋" w:hAnsi="仿宋" w:eastAsia="仿宋"/>
                <w:color w:val="auto"/>
                <w:sz w:val="24"/>
                <w:highlight w:val="none"/>
              </w:rPr>
              <w:t>地址：</w:t>
            </w:r>
          </w:p>
          <w:p w14:paraId="66B16ED5">
            <w:pPr>
              <w:rPr>
                <w:rFonts w:ascii="仿宋" w:hAnsi="仿宋" w:eastAsia="仿宋"/>
                <w:color w:val="auto"/>
                <w:sz w:val="24"/>
                <w:highlight w:val="none"/>
              </w:rPr>
            </w:pPr>
            <w:r>
              <w:rPr>
                <w:rFonts w:hint="eastAsia" w:ascii="仿宋" w:hAnsi="仿宋" w:eastAsia="仿宋"/>
                <w:color w:val="auto"/>
                <w:sz w:val="24"/>
                <w:highlight w:val="none"/>
              </w:rPr>
              <w:t>法定代表人（授权人）：</w:t>
            </w:r>
          </w:p>
          <w:p w14:paraId="013BBE87">
            <w:pPr>
              <w:rPr>
                <w:rFonts w:ascii="仿宋" w:hAnsi="仿宋" w:eastAsia="仿宋"/>
                <w:color w:val="auto"/>
                <w:sz w:val="24"/>
                <w:highlight w:val="none"/>
              </w:rPr>
            </w:pPr>
          </w:p>
          <w:p w14:paraId="2BF8782A">
            <w:pPr>
              <w:rPr>
                <w:rFonts w:ascii="仿宋" w:hAnsi="仿宋" w:eastAsia="仿宋"/>
                <w:color w:val="auto"/>
                <w:sz w:val="24"/>
                <w:highlight w:val="none"/>
              </w:rPr>
            </w:pPr>
          </w:p>
          <w:p w14:paraId="7898E993">
            <w:pPr>
              <w:jc w:val="right"/>
              <w:rPr>
                <w:rFonts w:ascii="仿宋" w:hAnsi="仿宋" w:eastAsia="仿宋"/>
                <w:color w:val="auto"/>
                <w:sz w:val="24"/>
                <w:highlight w:val="none"/>
              </w:rPr>
            </w:pPr>
            <w:r>
              <w:rPr>
                <w:rFonts w:hint="eastAsia" w:ascii="仿宋" w:hAnsi="仿宋" w:eastAsia="仿宋"/>
                <w:color w:val="auto"/>
                <w:sz w:val="24"/>
                <w:highlight w:val="none"/>
              </w:rPr>
              <w:t>年  月  日</w:t>
            </w:r>
          </w:p>
        </w:tc>
        <w:tc>
          <w:tcPr>
            <w:tcW w:w="4261" w:type="dxa"/>
          </w:tcPr>
          <w:p w14:paraId="675A5C6B">
            <w:pPr>
              <w:rPr>
                <w:rFonts w:ascii="仿宋" w:hAnsi="仿宋" w:eastAsia="仿宋"/>
                <w:color w:val="auto"/>
                <w:sz w:val="24"/>
                <w:highlight w:val="none"/>
              </w:rPr>
            </w:pPr>
            <w:r>
              <w:rPr>
                <w:rFonts w:hint="eastAsia" w:ascii="仿宋" w:hAnsi="仿宋" w:eastAsia="仿宋"/>
                <w:color w:val="auto"/>
                <w:sz w:val="24"/>
                <w:highlight w:val="none"/>
              </w:rPr>
              <w:t>乙方（公章）：</w:t>
            </w:r>
          </w:p>
          <w:p w14:paraId="204FFA14">
            <w:pPr>
              <w:rPr>
                <w:rFonts w:ascii="仿宋" w:hAnsi="仿宋" w:eastAsia="仿宋"/>
                <w:color w:val="auto"/>
                <w:sz w:val="24"/>
                <w:highlight w:val="none"/>
              </w:rPr>
            </w:pPr>
            <w:r>
              <w:rPr>
                <w:rFonts w:hint="eastAsia" w:ascii="仿宋" w:hAnsi="仿宋" w:eastAsia="仿宋"/>
                <w:color w:val="auto"/>
                <w:sz w:val="24"/>
                <w:highlight w:val="none"/>
              </w:rPr>
              <w:t>地址：</w:t>
            </w:r>
          </w:p>
          <w:p w14:paraId="1D43F16E">
            <w:pPr>
              <w:rPr>
                <w:rFonts w:ascii="仿宋" w:hAnsi="仿宋" w:eastAsia="仿宋"/>
                <w:color w:val="auto"/>
                <w:sz w:val="24"/>
                <w:highlight w:val="none"/>
              </w:rPr>
            </w:pPr>
            <w:r>
              <w:rPr>
                <w:rFonts w:hint="eastAsia" w:ascii="仿宋" w:hAnsi="仿宋" w:eastAsia="仿宋"/>
                <w:color w:val="auto"/>
                <w:sz w:val="24"/>
                <w:highlight w:val="none"/>
              </w:rPr>
              <w:t>法定代表人（授权人）：</w:t>
            </w:r>
          </w:p>
          <w:p w14:paraId="3CBD416E">
            <w:pPr>
              <w:rPr>
                <w:rFonts w:ascii="仿宋" w:hAnsi="仿宋" w:eastAsia="仿宋"/>
                <w:color w:val="auto"/>
                <w:sz w:val="24"/>
                <w:highlight w:val="none"/>
              </w:rPr>
            </w:pPr>
            <w:r>
              <w:rPr>
                <w:rFonts w:hint="eastAsia" w:ascii="仿宋" w:hAnsi="仿宋" w:eastAsia="仿宋"/>
                <w:color w:val="auto"/>
                <w:sz w:val="24"/>
                <w:highlight w:val="none"/>
              </w:rPr>
              <w:t>开户行：</w:t>
            </w:r>
          </w:p>
          <w:p w14:paraId="37DD9B2F">
            <w:pPr>
              <w:rPr>
                <w:rFonts w:ascii="仿宋" w:hAnsi="仿宋" w:eastAsia="仿宋"/>
                <w:color w:val="auto"/>
                <w:sz w:val="24"/>
                <w:highlight w:val="none"/>
              </w:rPr>
            </w:pPr>
            <w:r>
              <w:rPr>
                <w:rFonts w:hint="eastAsia" w:ascii="仿宋" w:hAnsi="仿宋" w:eastAsia="仿宋"/>
                <w:color w:val="auto"/>
                <w:sz w:val="24"/>
                <w:highlight w:val="none"/>
              </w:rPr>
              <w:t>银行账号：</w:t>
            </w:r>
          </w:p>
          <w:p w14:paraId="49022C1A">
            <w:pPr>
              <w:jc w:val="right"/>
              <w:rPr>
                <w:rFonts w:ascii="仿宋" w:hAnsi="仿宋" w:eastAsia="仿宋"/>
                <w:color w:val="auto"/>
                <w:sz w:val="24"/>
                <w:highlight w:val="none"/>
              </w:rPr>
            </w:pPr>
            <w:r>
              <w:rPr>
                <w:rFonts w:hint="eastAsia" w:ascii="仿宋" w:hAnsi="仿宋" w:eastAsia="仿宋"/>
                <w:color w:val="auto"/>
                <w:sz w:val="24"/>
                <w:highlight w:val="none"/>
              </w:rPr>
              <w:t xml:space="preserve">        年  月  日</w:t>
            </w:r>
          </w:p>
        </w:tc>
      </w:tr>
    </w:tbl>
    <w:p w14:paraId="2666BF60">
      <w:pPr>
        <w:ind w:firstLine="480" w:firstLineChars="200"/>
        <w:rPr>
          <w:rFonts w:ascii="仿宋_GB2312" w:hAnsi="宋体" w:eastAsia="仿宋_GB2312"/>
          <w:color w:val="auto"/>
          <w:sz w:val="24"/>
          <w:highlight w:val="none"/>
        </w:rPr>
      </w:pPr>
    </w:p>
    <w:p w14:paraId="662AE3C9">
      <w:pPr>
        <w:rPr>
          <w:rFonts w:ascii="仿宋" w:hAnsi="仿宋" w:eastAsia="仿宋"/>
          <w:color w:val="auto"/>
          <w:sz w:val="24"/>
          <w:highlight w:val="none"/>
        </w:rPr>
      </w:pPr>
      <w:r>
        <w:rPr>
          <w:rFonts w:hint="eastAsia" w:ascii="仿宋" w:hAnsi="仿宋" w:eastAsia="仿宋"/>
          <w:color w:val="auto"/>
          <w:sz w:val="24"/>
          <w:highlight w:val="none"/>
        </w:rPr>
        <w:t>附件</w:t>
      </w:r>
    </w:p>
    <w:p w14:paraId="08ED95EF">
      <w:pPr>
        <w:jc w:val="center"/>
        <w:rPr>
          <w:rFonts w:ascii="仿宋" w:hAnsi="仿宋" w:eastAsia="仿宋"/>
          <w:color w:val="auto"/>
          <w:sz w:val="24"/>
          <w:highlight w:val="none"/>
        </w:rPr>
      </w:pPr>
      <w:r>
        <w:rPr>
          <w:rFonts w:hint="eastAsia" w:ascii="仿宋" w:hAnsi="仿宋" w:eastAsia="仿宋"/>
          <w:color w:val="auto"/>
          <w:sz w:val="24"/>
          <w:highlight w:val="none"/>
        </w:rPr>
        <w:t>服务明细项目一览表</w:t>
      </w:r>
    </w:p>
    <w:tbl>
      <w:tblPr>
        <w:tblStyle w:val="11"/>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1667"/>
        <w:gridCol w:w="1638"/>
        <w:gridCol w:w="1188"/>
        <w:gridCol w:w="1143"/>
        <w:gridCol w:w="825"/>
        <w:gridCol w:w="1018"/>
        <w:gridCol w:w="1387"/>
      </w:tblGrid>
      <w:tr w14:paraId="37BCD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1" w:hRule="atLeast"/>
          <w:jc w:val="center"/>
        </w:trPr>
        <w:tc>
          <w:tcPr>
            <w:tcW w:w="729" w:type="dxa"/>
            <w:vAlign w:val="center"/>
          </w:tcPr>
          <w:p w14:paraId="4585C94D">
            <w:pPr>
              <w:pStyle w:val="5"/>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序号</w:t>
            </w:r>
          </w:p>
        </w:tc>
        <w:tc>
          <w:tcPr>
            <w:tcW w:w="1670" w:type="dxa"/>
            <w:vAlign w:val="center"/>
          </w:tcPr>
          <w:p w14:paraId="532CFFAD">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服务名称</w:t>
            </w:r>
          </w:p>
        </w:tc>
        <w:tc>
          <w:tcPr>
            <w:tcW w:w="1640" w:type="dxa"/>
            <w:vAlign w:val="center"/>
          </w:tcPr>
          <w:p w14:paraId="7086917C">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服务内容</w:t>
            </w:r>
          </w:p>
        </w:tc>
        <w:tc>
          <w:tcPr>
            <w:tcW w:w="1188" w:type="dxa"/>
            <w:vAlign w:val="center"/>
          </w:tcPr>
          <w:p w14:paraId="0EDB4D31">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计量单位</w:t>
            </w:r>
          </w:p>
        </w:tc>
        <w:tc>
          <w:tcPr>
            <w:tcW w:w="1143" w:type="dxa"/>
            <w:vAlign w:val="center"/>
          </w:tcPr>
          <w:p w14:paraId="10E9A23E">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工作量</w:t>
            </w:r>
          </w:p>
        </w:tc>
        <w:tc>
          <w:tcPr>
            <w:tcW w:w="822" w:type="dxa"/>
            <w:vAlign w:val="center"/>
          </w:tcPr>
          <w:p w14:paraId="157AD23B">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单 价</w:t>
            </w:r>
          </w:p>
          <w:p w14:paraId="34F4B621">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（元）</w:t>
            </w:r>
          </w:p>
        </w:tc>
        <w:tc>
          <w:tcPr>
            <w:tcW w:w="1017" w:type="dxa"/>
            <w:vAlign w:val="center"/>
          </w:tcPr>
          <w:p w14:paraId="5ED56348">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总 价</w:t>
            </w:r>
          </w:p>
          <w:p w14:paraId="655EB622">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（元）</w:t>
            </w:r>
          </w:p>
        </w:tc>
        <w:tc>
          <w:tcPr>
            <w:tcW w:w="1388" w:type="dxa"/>
            <w:vAlign w:val="center"/>
          </w:tcPr>
          <w:p w14:paraId="7E9CE31D">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备注</w:t>
            </w:r>
          </w:p>
        </w:tc>
      </w:tr>
      <w:tr w14:paraId="0AA0E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729" w:type="dxa"/>
            <w:vAlign w:val="center"/>
          </w:tcPr>
          <w:p w14:paraId="67BF281E">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w:t>
            </w:r>
          </w:p>
        </w:tc>
        <w:tc>
          <w:tcPr>
            <w:tcW w:w="1670" w:type="dxa"/>
            <w:vAlign w:val="center"/>
          </w:tcPr>
          <w:p w14:paraId="113AF524">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建筑质量安全鉴定</w:t>
            </w:r>
          </w:p>
        </w:tc>
        <w:tc>
          <w:tcPr>
            <w:tcW w:w="1640" w:type="dxa"/>
            <w:vAlign w:val="center"/>
          </w:tcPr>
          <w:p w14:paraId="498B41BD">
            <w:pPr>
              <w:pStyle w:val="5"/>
              <w:snapToGrid w:val="0"/>
              <w:spacing w:after="0" w:line="240" w:lineRule="auto"/>
              <w:jc w:val="center"/>
              <w:rPr>
                <w:rFonts w:ascii="仿宋" w:hAnsi="仿宋" w:eastAsia="仿宋"/>
                <w:color w:val="auto"/>
                <w:sz w:val="24"/>
                <w:szCs w:val="24"/>
                <w:highlight w:val="none"/>
              </w:rPr>
            </w:pPr>
          </w:p>
        </w:tc>
        <w:tc>
          <w:tcPr>
            <w:tcW w:w="1188" w:type="dxa"/>
            <w:vAlign w:val="center"/>
          </w:tcPr>
          <w:p w14:paraId="22EE55B9">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w:t>
            </w:r>
          </w:p>
        </w:tc>
        <w:tc>
          <w:tcPr>
            <w:tcW w:w="1143" w:type="dxa"/>
            <w:vAlign w:val="center"/>
          </w:tcPr>
          <w:p w14:paraId="5A257647">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583000</w:t>
            </w:r>
          </w:p>
        </w:tc>
        <w:tc>
          <w:tcPr>
            <w:tcW w:w="822" w:type="dxa"/>
            <w:vAlign w:val="center"/>
          </w:tcPr>
          <w:p w14:paraId="33A99FFB">
            <w:pPr>
              <w:pStyle w:val="5"/>
              <w:snapToGrid w:val="0"/>
              <w:spacing w:after="0" w:line="240" w:lineRule="auto"/>
              <w:jc w:val="center"/>
              <w:rPr>
                <w:rFonts w:ascii="仿宋" w:hAnsi="仿宋" w:eastAsia="仿宋"/>
                <w:color w:val="auto"/>
                <w:sz w:val="24"/>
                <w:szCs w:val="24"/>
                <w:highlight w:val="none"/>
              </w:rPr>
            </w:pPr>
          </w:p>
        </w:tc>
        <w:tc>
          <w:tcPr>
            <w:tcW w:w="1017" w:type="dxa"/>
            <w:vAlign w:val="center"/>
          </w:tcPr>
          <w:p w14:paraId="152B646F">
            <w:pPr>
              <w:pStyle w:val="5"/>
              <w:snapToGrid w:val="0"/>
              <w:spacing w:after="0" w:line="240" w:lineRule="auto"/>
              <w:jc w:val="center"/>
              <w:rPr>
                <w:rFonts w:ascii="仿宋" w:hAnsi="仿宋" w:eastAsia="仿宋"/>
                <w:color w:val="auto"/>
                <w:sz w:val="24"/>
                <w:szCs w:val="24"/>
                <w:highlight w:val="none"/>
              </w:rPr>
            </w:pPr>
          </w:p>
        </w:tc>
        <w:tc>
          <w:tcPr>
            <w:tcW w:w="1388" w:type="dxa"/>
            <w:vAlign w:val="center"/>
          </w:tcPr>
          <w:p w14:paraId="37EDCFCF">
            <w:pPr>
              <w:pStyle w:val="5"/>
              <w:snapToGrid w:val="0"/>
              <w:spacing w:after="0" w:line="240" w:lineRule="auto"/>
              <w:jc w:val="center"/>
              <w:rPr>
                <w:rFonts w:ascii="仿宋" w:hAnsi="仿宋" w:eastAsia="仿宋"/>
                <w:color w:val="auto"/>
                <w:sz w:val="24"/>
                <w:szCs w:val="24"/>
                <w:highlight w:val="none"/>
              </w:rPr>
            </w:pPr>
          </w:p>
        </w:tc>
      </w:tr>
      <w:tr w14:paraId="6E2C6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729" w:type="dxa"/>
            <w:vAlign w:val="center"/>
          </w:tcPr>
          <w:p w14:paraId="31BF90EE">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2</w:t>
            </w:r>
          </w:p>
        </w:tc>
        <w:tc>
          <w:tcPr>
            <w:tcW w:w="1670" w:type="dxa"/>
            <w:vAlign w:val="center"/>
          </w:tcPr>
          <w:p w14:paraId="2D803EDA">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消防安全评估</w:t>
            </w:r>
          </w:p>
        </w:tc>
        <w:tc>
          <w:tcPr>
            <w:tcW w:w="1640" w:type="dxa"/>
            <w:vAlign w:val="center"/>
          </w:tcPr>
          <w:p w14:paraId="35AB578E">
            <w:pPr>
              <w:pStyle w:val="5"/>
              <w:snapToGrid w:val="0"/>
              <w:spacing w:after="0" w:line="240" w:lineRule="auto"/>
              <w:jc w:val="center"/>
              <w:rPr>
                <w:rFonts w:ascii="仿宋" w:hAnsi="仿宋" w:eastAsia="仿宋"/>
                <w:color w:val="auto"/>
                <w:sz w:val="24"/>
                <w:szCs w:val="24"/>
                <w:highlight w:val="none"/>
              </w:rPr>
            </w:pPr>
          </w:p>
        </w:tc>
        <w:tc>
          <w:tcPr>
            <w:tcW w:w="1188" w:type="dxa"/>
            <w:vAlign w:val="center"/>
          </w:tcPr>
          <w:p w14:paraId="6A434DBF">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w:t>
            </w:r>
          </w:p>
        </w:tc>
        <w:tc>
          <w:tcPr>
            <w:tcW w:w="1143" w:type="dxa"/>
            <w:vAlign w:val="center"/>
          </w:tcPr>
          <w:p w14:paraId="21029AA5">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1238000</w:t>
            </w:r>
          </w:p>
        </w:tc>
        <w:tc>
          <w:tcPr>
            <w:tcW w:w="822" w:type="dxa"/>
            <w:vAlign w:val="center"/>
          </w:tcPr>
          <w:p w14:paraId="1468EC50">
            <w:pPr>
              <w:pStyle w:val="5"/>
              <w:snapToGrid w:val="0"/>
              <w:spacing w:after="0" w:line="240" w:lineRule="auto"/>
              <w:jc w:val="center"/>
              <w:rPr>
                <w:rFonts w:ascii="仿宋" w:hAnsi="仿宋" w:eastAsia="仿宋"/>
                <w:color w:val="auto"/>
                <w:sz w:val="24"/>
                <w:szCs w:val="24"/>
                <w:highlight w:val="none"/>
              </w:rPr>
            </w:pPr>
          </w:p>
        </w:tc>
        <w:tc>
          <w:tcPr>
            <w:tcW w:w="1017" w:type="dxa"/>
            <w:vAlign w:val="center"/>
          </w:tcPr>
          <w:p w14:paraId="11AB4249">
            <w:pPr>
              <w:pStyle w:val="5"/>
              <w:snapToGrid w:val="0"/>
              <w:spacing w:after="0" w:line="240" w:lineRule="auto"/>
              <w:jc w:val="center"/>
              <w:rPr>
                <w:rFonts w:ascii="仿宋" w:hAnsi="仿宋" w:eastAsia="仿宋"/>
                <w:color w:val="auto"/>
                <w:sz w:val="24"/>
                <w:szCs w:val="24"/>
                <w:highlight w:val="none"/>
              </w:rPr>
            </w:pPr>
          </w:p>
        </w:tc>
        <w:tc>
          <w:tcPr>
            <w:tcW w:w="1388" w:type="dxa"/>
            <w:vAlign w:val="center"/>
          </w:tcPr>
          <w:p w14:paraId="6CA9F322">
            <w:pPr>
              <w:pStyle w:val="5"/>
              <w:snapToGrid w:val="0"/>
              <w:spacing w:after="0" w:line="240" w:lineRule="auto"/>
              <w:jc w:val="center"/>
              <w:rPr>
                <w:rFonts w:ascii="仿宋" w:hAnsi="仿宋" w:eastAsia="仿宋"/>
                <w:color w:val="auto"/>
                <w:sz w:val="24"/>
                <w:szCs w:val="24"/>
                <w:highlight w:val="none"/>
              </w:rPr>
            </w:pPr>
          </w:p>
        </w:tc>
      </w:tr>
      <w:tr w14:paraId="76CF1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9597" w:type="dxa"/>
            <w:gridSpan w:val="8"/>
          </w:tcPr>
          <w:p w14:paraId="00AB9097">
            <w:pPr>
              <w:pStyle w:val="5"/>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大写：                                           合同价：      元</w:t>
            </w:r>
          </w:p>
        </w:tc>
      </w:tr>
    </w:tbl>
    <w:p w14:paraId="54EF5B22">
      <w:pPr>
        <w:pStyle w:val="14"/>
        <w:spacing w:line="240" w:lineRule="auto"/>
        <w:ind w:firstLine="0"/>
        <w:jc w:val="center"/>
        <w:rPr>
          <w:rFonts w:ascii="方正小标宋简体" w:eastAsia="方正小标宋简体"/>
          <w:bCs/>
          <w:color w:val="auto"/>
          <w:sz w:val="32"/>
          <w:szCs w:val="32"/>
          <w:highlight w:val="none"/>
        </w:rPr>
      </w:pPr>
    </w:p>
    <w:p w14:paraId="58300C24">
      <w:pPr>
        <w:pStyle w:val="14"/>
        <w:spacing w:line="240" w:lineRule="auto"/>
        <w:ind w:firstLine="0"/>
        <w:jc w:val="center"/>
        <w:rPr>
          <w:rFonts w:ascii="方正小标宋简体" w:eastAsia="方正小标宋简体"/>
          <w:bCs/>
          <w:color w:val="auto"/>
          <w:sz w:val="32"/>
          <w:szCs w:val="32"/>
          <w:highlight w:val="none"/>
        </w:rPr>
      </w:pPr>
    </w:p>
    <w:p w14:paraId="32039D35">
      <w:pPr>
        <w:pStyle w:val="14"/>
        <w:spacing w:line="240" w:lineRule="auto"/>
        <w:ind w:firstLine="0"/>
        <w:jc w:val="center"/>
        <w:rPr>
          <w:rFonts w:ascii="方正小标宋简体" w:eastAsia="方正小标宋简体"/>
          <w:color w:val="auto"/>
          <w:sz w:val="32"/>
          <w:szCs w:val="32"/>
          <w:highlight w:val="none"/>
        </w:rPr>
      </w:pPr>
    </w:p>
    <w:p w14:paraId="44ED91F3">
      <w:pPr>
        <w:pStyle w:val="14"/>
        <w:spacing w:line="240" w:lineRule="auto"/>
        <w:ind w:firstLine="0"/>
        <w:jc w:val="both"/>
        <w:rPr>
          <w:rFonts w:ascii="方正小标宋简体" w:eastAsia="方正小标宋简体"/>
          <w:color w:val="auto"/>
          <w:sz w:val="32"/>
          <w:szCs w:val="32"/>
          <w:highlight w:val="none"/>
        </w:rPr>
      </w:pPr>
    </w:p>
    <w:p w14:paraId="1C3950A2">
      <w:pPr>
        <w:pStyle w:val="14"/>
        <w:spacing w:line="240" w:lineRule="auto"/>
        <w:ind w:firstLine="0"/>
        <w:jc w:val="both"/>
        <w:rPr>
          <w:rFonts w:ascii="方正小标宋简体" w:eastAsia="方正小标宋简体"/>
          <w:bCs/>
          <w:color w:val="auto"/>
          <w:sz w:val="32"/>
          <w:szCs w:val="32"/>
          <w:highlight w:val="none"/>
        </w:rPr>
      </w:pPr>
    </w:p>
    <w:p w14:paraId="2F9A1ABE">
      <w:pPr>
        <w:pStyle w:val="14"/>
        <w:spacing w:line="240" w:lineRule="auto"/>
        <w:ind w:firstLine="0"/>
        <w:jc w:val="center"/>
        <w:rPr>
          <w:b/>
          <w:color w:val="auto"/>
          <w:highlight w:val="none"/>
        </w:rPr>
      </w:pPr>
      <w:r>
        <w:rPr>
          <w:rFonts w:hint="eastAsia" w:ascii="方正小标宋简体" w:eastAsia="方正小标宋简体"/>
          <w:bCs/>
          <w:color w:val="auto"/>
          <w:sz w:val="32"/>
          <w:szCs w:val="32"/>
          <w:highlight w:val="none"/>
        </w:rPr>
        <w:t>第5章 评审标准和方法</w:t>
      </w:r>
    </w:p>
    <w:p w14:paraId="336B1AC2">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 评审方法为综合评分法，即磋商响应文件能够最大限度的满足磋商文件规定的各项综合评价标准且经评审得分最高的供应商为成交候选人的评标方法。</w:t>
      </w:r>
    </w:p>
    <w:p w14:paraId="027EF250">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p>
    <w:p w14:paraId="329A6641">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 评审因素：价格、技术、商务、财务状况、信誉、业绩、服务、对磋商文件的响应程度，以及相应的比重或者权值等。</w:t>
      </w:r>
    </w:p>
    <w:p w14:paraId="5EA38B27">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 价格分应当采用低价优先法计算，即满足磋商文件要求且最后报价中最低报价为评审基准价，其价格分为满分。其他响应供应商的价格分统一按照下列公式计算：</w:t>
      </w:r>
    </w:p>
    <w:p w14:paraId="5313AD5E">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最后报价得分=(评审基准价／最后报价)×价格分分值</w:t>
      </w:r>
    </w:p>
    <w:p w14:paraId="74EF2085">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磋商过程中，不得去掉报价中的最高报价和最低报价。因落实政府采购政策进行价格调整的，以调整后的价格计算评审基准价和最后报价。</w:t>
      </w:r>
    </w:p>
    <w:p w14:paraId="4B2339CC">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4. 评分表范本</w:t>
      </w:r>
    </w:p>
    <w:p w14:paraId="026D1731">
      <w:pPr>
        <w:ind w:firstLine="560"/>
        <w:rPr>
          <w:rFonts w:ascii="仿宋" w:hAnsi="仿宋" w:eastAsia="仿宋"/>
          <w:color w:val="auto"/>
          <w:sz w:val="28"/>
          <w:szCs w:val="28"/>
          <w:highlight w:val="none"/>
        </w:rPr>
      </w:pPr>
    </w:p>
    <w:tbl>
      <w:tblPr>
        <w:tblStyle w:val="11"/>
        <w:tblW w:w="923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7"/>
        <w:gridCol w:w="1201"/>
        <w:gridCol w:w="900"/>
        <w:gridCol w:w="5339"/>
        <w:gridCol w:w="943"/>
      </w:tblGrid>
      <w:tr w14:paraId="2A35B2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847" w:type="dxa"/>
            <w:vAlign w:val="center"/>
          </w:tcPr>
          <w:p w14:paraId="0DCC2E18">
            <w:pPr>
              <w:adjustRightInd w:val="0"/>
              <w:snapToGrid w:val="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序号</w:t>
            </w:r>
          </w:p>
        </w:tc>
        <w:tc>
          <w:tcPr>
            <w:tcW w:w="1201" w:type="dxa"/>
            <w:vAlign w:val="center"/>
          </w:tcPr>
          <w:p w14:paraId="0B7D7E0E">
            <w:pPr>
              <w:adjustRightInd w:val="0"/>
              <w:snapToGrid w:val="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900" w:type="dxa"/>
            <w:vAlign w:val="center"/>
          </w:tcPr>
          <w:p w14:paraId="4D21289D">
            <w:pPr>
              <w:adjustRightInd w:val="0"/>
              <w:snapToGrid w:val="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分值</w:t>
            </w:r>
          </w:p>
        </w:tc>
        <w:tc>
          <w:tcPr>
            <w:tcW w:w="5339" w:type="dxa"/>
            <w:vAlign w:val="center"/>
          </w:tcPr>
          <w:p w14:paraId="41AAFA2D">
            <w:pPr>
              <w:adjustRightInd w:val="0"/>
              <w:snapToGrid w:val="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评审要求或标准</w:t>
            </w:r>
          </w:p>
        </w:tc>
        <w:tc>
          <w:tcPr>
            <w:tcW w:w="943" w:type="dxa"/>
            <w:vAlign w:val="center"/>
          </w:tcPr>
          <w:p w14:paraId="5F27C452">
            <w:pPr>
              <w:adjustRightInd w:val="0"/>
              <w:snapToGrid w:val="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得分</w:t>
            </w:r>
          </w:p>
        </w:tc>
      </w:tr>
      <w:tr w14:paraId="40FB09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847" w:type="dxa"/>
            <w:vAlign w:val="center"/>
          </w:tcPr>
          <w:p w14:paraId="10D2355D">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1201" w:type="dxa"/>
            <w:vAlign w:val="center"/>
          </w:tcPr>
          <w:p w14:paraId="495648DB">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服务方案</w:t>
            </w:r>
          </w:p>
        </w:tc>
        <w:tc>
          <w:tcPr>
            <w:tcW w:w="900" w:type="dxa"/>
            <w:vAlign w:val="center"/>
          </w:tcPr>
          <w:p w14:paraId="032EFE96">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20</w:t>
            </w:r>
          </w:p>
        </w:tc>
        <w:tc>
          <w:tcPr>
            <w:tcW w:w="5339" w:type="dxa"/>
            <w:vAlign w:val="center"/>
          </w:tcPr>
          <w:p w14:paraId="189E8934">
            <w:pPr>
              <w:adjustRightInd w:val="0"/>
              <w:snapToGrid w:val="0"/>
              <w:spacing w:line="280" w:lineRule="exact"/>
              <w:rPr>
                <w:rFonts w:ascii="仿宋" w:hAnsi="仿宋" w:eastAsia="仿宋" w:cs="仿宋"/>
                <w:color w:val="auto"/>
                <w:spacing w:val="-6"/>
                <w:sz w:val="24"/>
                <w:highlight w:val="none"/>
                <w:lang w:val="zh-CN" w:bidi="zh-CN"/>
              </w:rPr>
            </w:pPr>
            <w:r>
              <w:rPr>
                <w:rFonts w:hint="eastAsia" w:ascii="仿宋" w:hAnsi="仿宋" w:eastAsia="仿宋" w:cs="仿宋"/>
                <w:color w:val="auto"/>
                <w:spacing w:val="-6"/>
                <w:sz w:val="24"/>
                <w:highlight w:val="none"/>
                <w:lang w:val="zh-CN" w:bidi="zh-CN"/>
              </w:rPr>
              <w:t>对项目概况了解深入，编写服务方案：</w:t>
            </w:r>
          </w:p>
          <w:p w14:paraId="21258A68">
            <w:pPr>
              <w:adjustRightInd w:val="0"/>
              <w:snapToGrid w:val="0"/>
              <w:spacing w:line="280" w:lineRule="exact"/>
              <w:rPr>
                <w:rFonts w:ascii="仿宋" w:hAnsi="仿宋" w:eastAsia="仿宋" w:cs="仿宋"/>
                <w:color w:val="auto"/>
                <w:spacing w:val="-6"/>
                <w:sz w:val="24"/>
                <w:highlight w:val="none"/>
                <w:lang w:bidi="zh-CN"/>
              </w:rPr>
            </w:pPr>
            <w:r>
              <w:rPr>
                <w:rFonts w:hint="eastAsia" w:ascii="仿宋" w:hAnsi="仿宋" w:eastAsia="仿宋" w:cs="仿宋"/>
                <w:color w:val="auto"/>
                <w:spacing w:val="-6"/>
                <w:sz w:val="24"/>
                <w:highlight w:val="none"/>
                <w:lang w:bidi="zh-CN"/>
              </w:rPr>
              <w:t>1.配备方案包含但不限于（1）本项目实施的具体方法与流程；（2）各环节的注意事项；（3）组织管理体系；（4）针对本项目鉴定过程的重难点分析及应对措施。</w:t>
            </w:r>
          </w:p>
          <w:p w14:paraId="0DE06A03">
            <w:pPr>
              <w:adjustRightInd w:val="0"/>
              <w:snapToGrid w:val="0"/>
              <w:spacing w:line="280" w:lineRule="exact"/>
              <w:rPr>
                <w:rFonts w:ascii="仿宋" w:hAnsi="仿宋" w:eastAsia="仿宋" w:cs="仿宋"/>
                <w:color w:val="auto"/>
                <w:spacing w:val="-6"/>
                <w:sz w:val="24"/>
                <w:highlight w:val="none"/>
                <w:lang w:bidi="zh-CN"/>
              </w:rPr>
            </w:pPr>
            <w:r>
              <w:rPr>
                <w:rFonts w:hint="eastAsia" w:ascii="仿宋" w:hAnsi="仿宋" w:eastAsia="仿宋" w:cs="仿宋"/>
                <w:color w:val="auto"/>
                <w:spacing w:val="-6"/>
                <w:sz w:val="24"/>
                <w:highlight w:val="none"/>
                <w:lang w:bidi="zh-CN"/>
              </w:rPr>
              <w:t>2.质量保证措施内容包含但不限于：（1）质量管理目标；（2）质量管理体系；（3）质量控制方案；（4）服务质量保证措施。</w:t>
            </w:r>
          </w:p>
          <w:p w14:paraId="2EC9DB92">
            <w:pPr>
              <w:adjustRightInd w:val="0"/>
              <w:snapToGrid w:val="0"/>
              <w:spacing w:line="280" w:lineRule="exact"/>
              <w:rPr>
                <w:rFonts w:ascii="仿宋" w:hAnsi="仿宋" w:eastAsia="仿宋" w:cs="仿宋"/>
                <w:color w:val="auto"/>
                <w:spacing w:val="-6"/>
                <w:sz w:val="24"/>
                <w:highlight w:val="none"/>
                <w:lang w:bidi="zh-CN"/>
              </w:rPr>
            </w:pPr>
            <w:r>
              <w:rPr>
                <w:rFonts w:hint="eastAsia" w:ascii="仿宋" w:hAnsi="仿宋" w:eastAsia="仿宋" w:cs="仿宋"/>
                <w:color w:val="auto"/>
                <w:spacing w:val="-6"/>
                <w:sz w:val="24"/>
                <w:highlight w:val="none"/>
                <w:lang w:bidi="zh-CN"/>
              </w:rPr>
              <w:t>3.进度控制内容包含但不限于：（1）进度计划时间安排及计划；（2）影响项目实施的因素分析及解决措施；（3）进度保障措施。（4）应急处理方案等</w:t>
            </w:r>
          </w:p>
          <w:p w14:paraId="500DC6CE">
            <w:pPr>
              <w:adjustRightInd w:val="0"/>
              <w:snapToGrid w:val="0"/>
              <w:spacing w:line="280" w:lineRule="exact"/>
              <w:rPr>
                <w:rFonts w:ascii="仿宋" w:hAnsi="仿宋" w:eastAsia="仿宋" w:cs="仿宋"/>
                <w:color w:val="auto"/>
                <w:spacing w:val="-6"/>
                <w:sz w:val="24"/>
                <w:highlight w:val="none"/>
                <w:lang w:bidi="zh-CN"/>
              </w:rPr>
            </w:pPr>
            <w:r>
              <w:rPr>
                <w:rFonts w:hint="eastAsia" w:ascii="仿宋" w:hAnsi="仿宋" w:eastAsia="仿宋" w:cs="仿宋"/>
                <w:color w:val="auto"/>
                <w:spacing w:val="-6"/>
                <w:sz w:val="24"/>
                <w:highlight w:val="none"/>
                <w:lang w:bidi="zh-CN"/>
              </w:rPr>
              <w:t>4.应急响应措施内容包含但不限于：（1）承诺1小时内抵达现场，并提供详尽的应急响应方案；（2）在本市配备常驻的专业技术人员团队、车辆及设备等。</w:t>
            </w:r>
          </w:p>
          <w:p w14:paraId="0140BBFB">
            <w:pPr>
              <w:adjustRightInd w:val="0"/>
              <w:snapToGrid w:val="0"/>
              <w:spacing w:line="280" w:lineRule="exact"/>
              <w:rPr>
                <w:rFonts w:ascii="仿宋" w:hAnsi="仿宋" w:eastAsia="仿宋" w:cs="仿宋"/>
                <w:color w:val="auto"/>
                <w:spacing w:val="-6"/>
                <w:sz w:val="24"/>
                <w:highlight w:val="none"/>
                <w:lang w:val="zh-CN" w:bidi="zh-CN"/>
              </w:rPr>
            </w:pPr>
            <w:r>
              <w:rPr>
                <w:rFonts w:hint="eastAsia" w:ascii="仿宋" w:hAnsi="仿宋" w:eastAsia="仿宋" w:cs="仿宋"/>
                <w:color w:val="auto"/>
                <w:spacing w:val="-6"/>
                <w:sz w:val="24"/>
                <w:highlight w:val="none"/>
                <w:lang w:val="zh-CN" w:bidi="zh-CN"/>
              </w:rPr>
              <w:t>上述</w:t>
            </w:r>
            <w:r>
              <w:rPr>
                <w:rFonts w:hint="eastAsia" w:ascii="仿宋" w:hAnsi="仿宋" w:eastAsia="仿宋" w:cs="仿宋"/>
                <w:color w:val="auto"/>
                <w:spacing w:val="-6"/>
                <w:sz w:val="24"/>
                <w:highlight w:val="none"/>
                <w:lang w:bidi="zh-CN"/>
              </w:rPr>
              <w:t>4</w:t>
            </w:r>
            <w:r>
              <w:rPr>
                <w:rFonts w:hint="eastAsia" w:ascii="仿宋" w:hAnsi="仿宋" w:eastAsia="仿宋" w:cs="仿宋"/>
                <w:color w:val="auto"/>
                <w:spacing w:val="-6"/>
                <w:sz w:val="24"/>
                <w:highlight w:val="none"/>
                <w:lang w:val="zh-CN" w:bidi="zh-CN"/>
              </w:rPr>
              <w:t>方面内容中每缺少一项内容扣</w:t>
            </w:r>
            <w:r>
              <w:rPr>
                <w:rFonts w:hint="eastAsia" w:ascii="仿宋" w:hAnsi="仿宋" w:eastAsia="仿宋" w:cs="仿宋"/>
                <w:color w:val="auto"/>
                <w:spacing w:val="-6"/>
                <w:sz w:val="24"/>
                <w:highlight w:val="none"/>
                <w:lang w:bidi="zh-CN"/>
              </w:rPr>
              <w:t>5</w:t>
            </w:r>
            <w:r>
              <w:rPr>
                <w:rFonts w:hint="eastAsia" w:ascii="仿宋" w:hAnsi="仿宋" w:eastAsia="仿宋" w:cs="仿宋"/>
                <w:color w:val="auto"/>
                <w:spacing w:val="-6"/>
                <w:sz w:val="24"/>
                <w:highlight w:val="none"/>
                <w:lang w:val="zh-CN" w:bidi="zh-CN"/>
              </w:rPr>
              <w:t>分，每有一处需求分析内容存在缺陷或不足的扣</w:t>
            </w:r>
            <w:r>
              <w:rPr>
                <w:rFonts w:hint="eastAsia" w:ascii="仿宋" w:hAnsi="仿宋" w:eastAsia="仿宋" w:cs="仿宋"/>
                <w:color w:val="auto"/>
                <w:spacing w:val="-6"/>
                <w:sz w:val="24"/>
                <w:highlight w:val="none"/>
                <w:lang w:bidi="zh-CN"/>
              </w:rPr>
              <w:t>3</w:t>
            </w:r>
            <w:r>
              <w:rPr>
                <w:rFonts w:hint="eastAsia" w:ascii="仿宋" w:hAnsi="仿宋" w:eastAsia="仿宋" w:cs="仿宋"/>
                <w:color w:val="auto"/>
                <w:spacing w:val="-6"/>
                <w:sz w:val="24"/>
                <w:highlight w:val="none"/>
                <w:lang w:val="zh-CN" w:bidi="zh-CN"/>
              </w:rPr>
              <w:t>分，扣完为止。(本项最高得</w:t>
            </w:r>
            <w:r>
              <w:rPr>
                <w:rFonts w:hint="eastAsia" w:ascii="仿宋" w:hAnsi="仿宋" w:eastAsia="仿宋" w:cs="仿宋"/>
                <w:color w:val="auto"/>
                <w:spacing w:val="-6"/>
                <w:sz w:val="24"/>
                <w:highlight w:val="none"/>
                <w:lang w:bidi="zh-CN"/>
              </w:rPr>
              <w:t>20</w:t>
            </w:r>
            <w:r>
              <w:rPr>
                <w:rFonts w:hint="eastAsia" w:ascii="仿宋" w:hAnsi="仿宋" w:eastAsia="仿宋" w:cs="仿宋"/>
                <w:color w:val="auto"/>
                <w:spacing w:val="-6"/>
                <w:sz w:val="24"/>
                <w:highlight w:val="none"/>
                <w:lang w:val="zh-CN" w:bidi="zh-CN"/>
              </w:rPr>
              <w:t>分)</w:t>
            </w:r>
          </w:p>
          <w:p w14:paraId="646BC55C">
            <w:pPr>
              <w:adjustRightInd w:val="0"/>
              <w:snapToGrid w:val="0"/>
              <w:spacing w:line="280" w:lineRule="exact"/>
              <w:rPr>
                <w:rFonts w:ascii="仿宋" w:hAnsi="仿宋" w:eastAsia="仿宋" w:cs="仿宋"/>
                <w:color w:val="auto"/>
                <w:spacing w:val="-6"/>
                <w:sz w:val="24"/>
                <w:highlight w:val="none"/>
                <w:lang w:val="zh-CN" w:bidi="zh-CN"/>
              </w:rPr>
            </w:pPr>
            <w:r>
              <w:rPr>
                <w:rFonts w:hint="eastAsia" w:ascii="仿宋" w:hAnsi="仿宋" w:eastAsia="仿宋" w:cs="仿宋"/>
                <w:color w:val="auto"/>
                <w:spacing w:val="-6"/>
                <w:sz w:val="24"/>
                <w:highlight w:val="none"/>
                <w:lang w:val="zh-CN" w:bidi="zh-CN"/>
              </w:rPr>
              <w:t>注：实施方案内容存在缺陷或不足是指以下任意一种情形：</w:t>
            </w:r>
          </w:p>
          <w:p w14:paraId="61B7F8D9">
            <w:pPr>
              <w:ind w:firstLine="482" w:firstLineChars="200"/>
              <w:jc w:val="left"/>
              <w:rPr>
                <w:rFonts w:ascii="仿宋" w:hAnsi="仿宋" w:eastAsia="仿宋" w:cs="仿宋"/>
                <w:color w:val="auto"/>
                <w:sz w:val="24"/>
                <w:highlight w:val="none"/>
              </w:rPr>
            </w:pPr>
            <w:r>
              <w:rPr>
                <w:rFonts w:hint="eastAsia" w:ascii="仿宋" w:hAnsi="仿宋" w:eastAsia="仿宋" w:cs="仿宋"/>
                <w:b/>
                <w:color w:val="auto"/>
                <w:sz w:val="24"/>
                <w:highlight w:val="none"/>
                <w:lang w:val="zh-CN"/>
              </w:rPr>
              <w:t>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p>
        </w:tc>
        <w:tc>
          <w:tcPr>
            <w:tcW w:w="943" w:type="dxa"/>
            <w:vAlign w:val="center"/>
          </w:tcPr>
          <w:p w14:paraId="403B78A5">
            <w:pPr>
              <w:ind w:firstLine="482" w:firstLineChars="200"/>
              <w:jc w:val="left"/>
              <w:rPr>
                <w:rFonts w:ascii="仿宋" w:hAnsi="仿宋" w:eastAsia="仿宋" w:cs="仿宋"/>
                <w:b/>
                <w:color w:val="auto"/>
                <w:sz w:val="24"/>
                <w:highlight w:val="none"/>
                <w:lang w:val="zh-CN"/>
              </w:rPr>
            </w:pPr>
          </w:p>
        </w:tc>
      </w:tr>
      <w:tr w14:paraId="4BC903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847" w:type="dxa"/>
            <w:vAlign w:val="center"/>
          </w:tcPr>
          <w:p w14:paraId="5BC352A3">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1201" w:type="dxa"/>
            <w:vAlign w:val="center"/>
          </w:tcPr>
          <w:p w14:paraId="7DEE607D">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拟派项目团队</w:t>
            </w:r>
          </w:p>
        </w:tc>
        <w:tc>
          <w:tcPr>
            <w:tcW w:w="900" w:type="dxa"/>
            <w:vAlign w:val="center"/>
          </w:tcPr>
          <w:p w14:paraId="28A44981">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10</w:t>
            </w:r>
          </w:p>
        </w:tc>
        <w:tc>
          <w:tcPr>
            <w:tcW w:w="5339" w:type="dxa"/>
            <w:vAlign w:val="center"/>
          </w:tcPr>
          <w:p w14:paraId="7AF42850">
            <w:pPr>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1.人员配置方案：</w:t>
            </w:r>
          </w:p>
          <w:p w14:paraId="2ED711A0">
            <w:pPr>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（1）消防类负责人1人：具有一级注册消防工程师的得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14:paraId="274F359D">
            <w:pPr>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）鉴定类负责人1人：具有中级工程师及以上职称证书和一级注册结构工程师证书的得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14:paraId="1CF7D3A2">
            <w:pPr>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）拟派本项目团队中（除项目总负责人、消防类负责人、鉴定类负责人外）具有</w:t>
            </w:r>
            <w:r>
              <w:rPr>
                <w:rFonts w:hint="eastAsia" w:ascii="仿宋" w:hAnsi="仿宋" w:eastAsia="仿宋" w:cs="仿宋"/>
                <w:b/>
                <w:bCs/>
                <w:color w:val="auto"/>
                <w:sz w:val="24"/>
                <w:highlight w:val="none"/>
              </w:rPr>
              <w:t>省级及以上建设行政主管部门或相关机构核发的建设工程质量检测人员岗位合格证或培训证书</w:t>
            </w:r>
            <w:r>
              <w:rPr>
                <w:rFonts w:hint="eastAsia" w:ascii="仿宋" w:hAnsi="仿宋" w:eastAsia="仿宋" w:cs="仿宋"/>
                <w:b/>
                <w:bCs/>
                <w:color w:val="auto"/>
                <w:sz w:val="24"/>
                <w:highlight w:val="none"/>
                <w:lang w:val="en-US" w:eastAsia="zh-CN"/>
              </w:rPr>
              <w:t>及</w:t>
            </w:r>
            <w:r>
              <w:rPr>
                <w:rFonts w:hint="eastAsia" w:ascii="仿宋" w:hAnsi="仿宋" w:eastAsia="仿宋" w:cs="仿宋"/>
                <w:color w:val="auto"/>
                <w:sz w:val="24"/>
                <w:highlight w:val="none"/>
              </w:rPr>
              <w:t>中级职称的有1人得1分，具有高级职称的有1人得2分，本项目最多6分。</w:t>
            </w:r>
          </w:p>
          <w:p w14:paraId="4E350AC1">
            <w:pPr>
              <w:ind w:firstLine="482" w:firstLineChars="200"/>
              <w:jc w:val="left"/>
              <w:rPr>
                <w:rFonts w:ascii="仿宋" w:hAnsi="仿宋" w:eastAsia="仿宋" w:cs="仿宋"/>
                <w:color w:val="auto"/>
                <w:sz w:val="24"/>
                <w:highlight w:val="none"/>
              </w:rPr>
            </w:pPr>
            <w:r>
              <w:rPr>
                <w:rFonts w:hint="eastAsia" w:ascii="仿宋" w:hAnsi="仿宋" w:eastAsia="仿宋" w:cs="仿宋"/>
                <w:b/>
                <w:bCs/>
                <w:color w:val="auto"/>
                <w:sz w:val="24"/>
                <w:highlight w:val="none"/>
              </w:rPr>
              <w:t>注：须提供拟派相关人员的省级及以上建设行政主管部门或相关机构核发的建设工程质量检测人员岗位合格证或培训证书、职称证书、注册执业资格证书等相关证书，同时须提供</w:t>
            </w:r>
            <w:r>
              <w:rPr>
                <w:rFonts w:hint="eastAsia" w:ascii="仿宋" w:hAnsi="仿宋" w:eastAsia="仿宋" w:cs="仿宋"/>
                <w:b/>
                <w:bCs/>
                <w:color w:val="auto"/>
                <w:sz w:val="24"/>
                <w:szCs w:val="28"/>
                <w:highlight w:val="none"/>
              </w:rPr>
              <w:t>响应文件提交截止日前最近</w:t>
            </w:r>
            <w:r>
              <w:rPr>
                <w:rFonts w:hint="eastAsia" w:ascii="仿宋" w:hAnsi="仿宋" w:eastAsia="仿宋" w:cs="仿宋"/>
                <w:b/>
                <w:bCs/>
                <w:color w:val="auto"/>
                <w:sz w:val="24"/>
                <w:szCs w:val="28"/>
                <w:highlight w:val="none"/>
                <w:lang w:val="en-US" w:eastAsia="zh-CN"/>
              </w:rPr>
              <w:t>1</w:t>
            </w:r>
            <w:r>
              <w:rPr>
                <w:rFonts w:hint="eastAsia" w:ascii="仿宋" w:hAnsi="仿宋" w:eastAsia="仿宋" w:cs="仿宋"/>
                <w:b/>
                <w:bCs/>
                <w:color w:val="auto"/>
                <w:sz w:val="24"/>
                <w:szCs w:val="28"/>
                <w:highlight w:val="none"/>
              </w:rPr>
              <w:t>个月响应供应商为以上人员缴纳社保的证明；新成立企业距响应文件提交截止日期不足30日的，可不提供缴纳社保的证明（以新办企业营业执照发放日期为准）。</w:t>
            </w:r>
          </w:p>
        </w:tc>
        <w:tc>
          <w:tcPr>
            <w:tcW w:w="943" w:type="dxa"/>
            <w:vAlign w:val="center"/>
          </w:tcPr>
          <w:p w14:paraId="327EF436">
            <w:pPr>
              <w:ind w:firstLine="482" w:firstLineChars="200"/>
              <w:jc w:val="left"/>
              <w:rPr>
                <w:rFonts w:ascii="仿宋" w:hAnsi="仿宋" w:eastAsia="仿宋" w:cs="仿宋"/>
                <w:b/>
                <w:bCs/>
                <w:color w:val="auto"/>
                <w:sz w:val="24"/>
                <w:highlight w:val="none"/>
              </w:rPr>
            </w:pPr>
          </w:p>
        </w:tc>
      </w:tr>
      <w:tr w14:paraId="1D46EE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847" w:type="dxa"/>
            <w:vAlign w:val="center"/>
          </w:tcPr>
          <w:p w14:paraId="5D5C91C1">
            <w:pPr>
              <w:widowControl/>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1201" w:type="dxa"/>
            <w:vAlign w:val="center"/>
          </w:tcPr>
          <w:p w14:paraId="7F5B7E3A">
            <w:pPr>
              <w:spacing w:line="300" w:lineRule="exact"/>
              <w:jc w:val="center"/>
              <w:rPr>
                <w:rFonts w:ascii="仿宋" w:hAnsi="仿宋" w:eastAsia="仿宋" w:cs="仿宋"/>
                <w:color w:val="auto"/>
                <w:sz w:val="24"/>
                <w:highlight w:val="none"/>
              </w:rPr>
            </w:pPr>
            <w:r>
              <w:rPr>
                <w:rFonts w:hint="eastAsia" w:ascii="仿宋" w:hAnsi="仿宋" w:eastAsia="仿宋" w:cs="仿宋"/>
                <w:color w:val="auto"/>
                <w:sz w:val="24"/>
                <w:szCs w:val="28"/>
                <w:highlight w:val="none"/>
              </w:rPr>
              <w:t>业绩</w:t>
            </w:r>
          </w:p>
        </w:tc>
        <w:tc>
          <w:tcPr>
            <w:tcW w:w="900" w:type="dxa"/>
            <w:vAlign w:val="center"/>
          </w:tcPr>
          <w:p w14:paraId="365A77F3">
            <w:pPr>
              <w:spacing w:line="560" w:lineRule="exact"/>
              <w:jc w:val="center"/>
              <w:rPr>
                <w:rFonts w:ascii="仿宋" w:hAnsi="仿宋" w:eastAsia="仿宋" w:cs="仿宋"/>
                <w:color w:val="auto"/>
                <w:sz w:val="24"/>
                <w:highlight w:val="none"/>
              </w:rPr>
            </w:pPr>
            <w:r>
              <w:rPr>
                <w:rFonts w:hint="eastAsia" w:ascii="仿宋" w:hAnsi="仿宋" w:eastAsia="仿宋" w:cs="仿宋"/>
                <w:color w:val="auto"/>
                <w:sz w:val="24"/>
                <w:szCs w:val="28"/>
                <w:highlight w:val="none"/>
              </w:rPr>
              <w:t>18</w:t>
            </w:r>
          </w:p>
        </w:tc>
        <w:tc>
          <w:tcPr>
            <w:tcW w:w="5339" w:type="dxa"/>
            <w:vAlign w:val="center"/>
          </w:tcPr>
          <w:p w14:paraId="2630BD18">
            <w:pPr>
              <w:spacing w:line="300" w:lineRule="exact"/>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响应供应商自2021年1月1日以来，小区鉴定服务业绩的每提供一个得3分，最多得9分。小区消防安全评估业绩的每提供一个得3分，最多得9分。本项最多得18分。</w:t>
            </w:r>
          </w:p>
          <w:p w14:paraId="2368E3DC">
            <w:pPr>
              <w:spacing w:line="300" w:lineRule="exact"/>
              <w:ind w:firstLine="482" w:firstLineChars="200"/>
              <w:rPr>
                <w:rFonts w:ascii="仿宋" w:hAnsi="仿宋" w:eastAsia="仿宋" w:cs="仿宋"/>
                <w:color w:val="auto"/>
                <w:sz w:val="24"/>
                <w:highlight w:val="none"/>
              </w:rPr>
            </w:pPr>
            <w:r>
              <w:rPr>
                <w:rFonts w:hint="eastAsia" w:ascii="仿宋" w:hAnsi="仿宋" w:eastAsia="仿宋" w:cs="仿宋"/>
                <w:b/>
                <w:bCs/>
                <w:color w:val="auto"/>
                <w:sz w:val="24"/>
                <w:szCs w:val="28"/>
                <w:highlight w:val="none"/>
              </w:rPr>
              <w:t>以上业绩以合同签订时间为准，项目合同内容须能反映合同签订时间、项目服务内容等，不提供不得分。</w:t>
            </w:r>
          </w:p>
        </w:tc>
        <w:tc>
          <w:tcPr>
            <w:tcW w:w="943" w:type="dxa"/>
            <w:vAlign w:val="center"/>
          </w:tcPr>
          <w:p w14:paraId="457E37ED">
            <w:pPr>
              <w:ind w:firstLine="480" w:firstLineChars="200"/>
              <w:jc w:val="left"/>
              <w:rPr>
                <w:rFonts w:ascii="仿宋" w:hAnsi="仿宋" w:eastAsia="仿宋" w:cs="仿宋"/>
                <w:color w:val="auto"/>
                <w:sz w:val="24"/>
                <w:highlight w:val="none"/>
              </w:rPr>
            </w:pPr>
          </w:p>
        </w:tc>
      </w:tr>
      <w:tr w14:paraId="0BE950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847" w:type="dxa"/>
            <w:tcBorders>
              <w:bottom w:val="single" w:color="auto" w:sz="4" w:space="0"/>
            </w:tcBorders>
            <w:vAlign w:val="center"/>
          </w:tcPr>
          <w:p w14:paraId="10ECD2F9">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4</w:t>
            </w:r>
          </w:p>
        </w:tc>
        <w:tc>
          <w:tcPr>
            <w:tcW w:w="1201" w:type="dxa"/>
            <w:tcBorders>
              <w:bottom w:val="single" w:color="auto" w:sz="4" w:space="0"/>
            </w:tcBorders>
            <w:vAlign w:val="center"/>
          </w:tcPr>
          <w:p w14:paraId="6D4448A8">
            <w:pPr>
              <w:spacing w:line="300" w:lineRule="exact"/>
              <w:jc w:val="center"/>
              <w:rPr>
                <w:rFonts w:ascii="仿宋" w:hAnsi="仿宋" w:eastAsia="仿宋" w:cs="仿宋"/>
                <w:color w:val="auto"/>
                <w:sz w:val="24"/>
                <w:highlight w:val="none"/>
              </w:rPr>
            </w:pPr>
            <w:r>
              <w:rPr>
                <w:rFonts w:hint="eastAsia" w:ascii="仿宋" w:hAnsi="仿宋" w:eastAsia="仿宋" w:cs="仿宋"/>
                <w:color w:val="auto"/>
                <w:sz w:val="24"/>
                <w:szCs w:val="28"/>
                <w:highlight w:val="none"/>
              </w:rPr>
              <w:t>能力验证</w:t>
            </w:r>
          </w:p>
        </w:tc>
        <w:tc>
          <w:tcPr>
            <w:tcW w:w="900" w:type="dxa"/>
            <w:tcBorders>
              <w:bottom w:val="single" w:color="auto" w:sz="4" w:space="0"/>
            </w:tcBorders>
            <w:vAlign w:val="center"/>
          </w:tcPr>
          <w:p w14:paraId="09AA3960">
            <w:pPr>
              <w:spacing w:line="560" w:lineRule="exact"/>
              <w:jc w:val="center"/>
              <w:rPr>
                <w:rFonts w:ascii="仿宋" w:hAnsi="仿宋" w:eastAsia="仿宋" w:cs="仿宋"/>
                <w:color w:val="auto"/>
                <w:sz w:val="24"/>
                <w:highlight w:val="none"/>
              </w:rPr>
            </w:pPr>
            <w:r>
              <w:rPr>
                <w:rFonts w:hint="eastAsia" w:ascii="仿宋" w:hAnsi="仿宋" w:eastAsia="仿宋" w:cs="仿宋"/>
                <w:color w:val="auto"/>
                <w:sz w:val="24"/>
                <w:szCs w:val="28"/>
                <w:highlight w:val="none"/>
              </w:rPr>
              <w:t>22</w:t>
            </w:r>
          </w:p>
        </w:tc>
        <w:tc>
          <w:tcPr>
            <w:tcW w:w="5339" w:type="dxa"/>
            <w:tcBorders>
              <w:bottom w:val="single" w:color="auto" w:sz="4" w:space="0"/>
            </w:tcBorders>
            <w:vAlign w:val="center"/>
          </w:tcPr>
          <w:p w14:paraId="4BB53EFB">
            <w:pPr>
              <w:spacing w:line="300" w:lineRule="exact"/>
              <w:ind w:firstLine="480" w:firstLineChars="200"/>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响应供应商自2021年1月1日以来，参加过省级及以上建设主管部门、省级及以上市场监督管理部门能力验证结果为满意的，每提供1个得2分，最高得8分；</w:t>
            </w:r>
          </w:p>
          <w:p w14:paraId="5CDBA9E5">
            <w:pPr>
              <w:spacing w:line="300" w:lineRule="exact"/>
              <w:ind w:firstLine="480" w:firstLineChars="200"/>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响应供应商自2021年1月1日以来参与国家认证认可监督管理委员会授权的国家级检测试验认证机构组织的检测能力验证，结果“满意”的每提供1个得2分，最高得14分；</w:t>
            </w:r>
          </w:p>
          <w:p w14:paraId="557FA5D9">
            <w:pPr>
              <w:spacing w:line="300" w:lineRule="exact"/>
              <w:ind w:firstLine="482" w:firstLineChars="200"/>
              <w:rPr>
                <w:rFonts w:ascii="仿宋" w:hAnsi="仿宋" w:eastAsia="仿宋" w:cs="仿宋"/>
                <w:color w:val="auto"/>
                <w:sz w:val="24"/>
                <w:highlight w:val="none"/>
              </w:rPr>
            </w:pPr>
            <w:r>
              <w:rPr>
                <w:rFonts w:hint="eastAsia" w:ascii="仿宋" w:hAnsi="仿宋" w:eastAsia="仿宋" w:cs="仿宋"/>
                <w:b/>
                <w:bCs/>
                <w:color w:val="auto"/>
                <w:sz w:val="24"/>
                <w:szCs w:val="28"/>
                <w:highlight w:val="none"/>
              </w:rPr>
              <w:t>响应供应商须如实提供组织机构颁发的关于《能力验证的情况通报》完整文件或获得的证书，否则不得分。</w:t>
            </w:r>
          </w:p>
        </w:tc>
        <w:tc>
          <w:tcPr>
            <w:tcW w:w="943" w:type="dxa"/>
            <w:tcBorders>
              <w:bottom w:val="single" w:color="auto" w:sz="4" w:space="0"/>
            </w:tcBorders>
            <w:vAlign w:val="center"/>
          </w:tcPr>
          <w:p w14:paraId="1BD370C7">
            <w:pPr>
              <w:spacing w:line="300" w:lineRule="exact"/>
              <w:ind w:firstLine="482" w:firstLineChars="200"/>
              <w:rPr>
                <w:rFonts w:ascii="仿宋" w:hAnsi="仿宋" w:eastAsia="仿宋" w:cs="仿宋"/>
                <w:b/>
                <w:bCs/>
                <w:color w:val="auto"/>
                <w:sz w:val="24"/>
                <w:szCs w:val="28"/>
                <w:highlight w:val="none"/>
              </w:rPr>
            </w:pPr>
          </w:p>
        </w:tc>
      </w:tr>
      <w:tr w14:paraId="614020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847" w:type="dxa"/>
            <w:tcBorders>
              <w:top w:val="single" w:color="auto" w:sz="4" w:space="0"/>
            </w:tcBorders>
            <w:vAlign w:val="center"/>
          </w:tcPr>
          <w:p w14:paraId="01A4DD88">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5</w:t>
            </w:r>
          </w:p>
        </w:tc>
        <w:tc>
          <w:tcPr>
            <w:tcW w:w="1201" w:type="dxa"/>
            <w:tcBorders>
              <w:top w:val="single" w:color="auto" w:sz="4" w:space="0"/>
            </w:tcBorders>
            <w:vAlign w:val="center"/>
          </w:tcPr>
          <w:p w14:paraId="7617E1DC">
            <w:pPr>
              <w:spacing w:line="300" w:lineRule="exact"/>
              <w:jc w:val="center"/>
              <w:rPr>
                <w:rFonts w:ascii="仿宋" w:hAnsi="仿宋" w:eastAsia="仿宋" w:cs="仿宋"/>
                <w:color w:val="auto"/>
                <w:kern w:val="2"/>
                <w:sz w:val="24"/>
                <w:highlight w:val="none"/>
              </w:rPr>
            </w:pPr>
            <w:r>
              <w:rPr>
                <w:rFonts w:hint="eastAsia" w:ascii="仿宋" w:hAnsi="仿宋" w:eastAsia="仿宋" w:cs="仿宋"/>
                <w:color w:val="auto"/>
                <w:sz w:val="24"/>
                <w:szCs w:val="28"/>
                <w:highlight w:val="none"/>
              </w:rPr>
              <w:t>企业荣誉</w:t>
            </w:r>
          </w:p>
        </w:tc>
        <w:tc>
          <w:tcPr>
            <w:tcW w:w="900" w:type="dxa"/>
            <w:tcBorders>
              <w:top w:val="single" w:color="auto" w:sz="4" w:space="0"/>
            </w:tcBorders>
            <w:vAlign w:val="center"/>
          </w:tcPr>
          <w:p w14:paraId="60B0E763">
            <w:pPr>
              <w:spacing w:line="560" w:lineRule="exact"/>
              <w:jc w:val="center"/>
              <w:rPr>
                <w:rFonts w:ascii="仿宋" w:hAnsi="仿宋" w:eastAsia="仿宋" w:cs="仿宋"/>
                <w:color w:val="auto"/>
                <w:kern w:val="2"/>
                <w:sz w:val="24"/>
                <w:highlight w:val="none"/>
              </w:rPr>
            </w:pPr>
            <w:r>
              <w:rPr>
                <w:rFonts w:hint="eastAsia" w:ascii="仿宋" w:hAnsi="仿宋" w:eastAsia="仿宋" w:cs="仿宋"/>
                <w:color w:val="auto"/>
                <w:sz w:val="24"/>
                <w:szCs w:val="28"/>
                <w:highlight w:val="none"/>
              </w:rPr>
              <w:t>10</w:t>
            </w:r>
          </w:p>
        </w:tc>
        <w:tc>
          <w:tcPr>
            <w:tcW w:w="5339" w:type="dxa"/>
            <w:tcBorders>
              <w:top w:val="single" w:color="auto" w:sz="4" w:space="0"/>
            </w:tcBorders>
            <w:vAlign w:val="center"/>
          </w:tcPr>
          <w:p w14:paraId="62B74BD3">
            <w:pPr>
              <w:spacing w:line="300" w:lineRule="exact"/>
              <w:ind w:firstLine="480" w:firstLineChars="200"/>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响应供应商自2021年1月1日以来，获得设区市级及以上建设主管部门荣誉表彰或通报表扬的，每提供1个得6分，最高得6分。</w:t>
            </w:r>
          </w:p>
          <w:p w14:paraId="41D1CC7D">
            <w:pPr>
              <w:ind w:firstLine="480" w:firstLineChars="200"/>
              <w:rPr>
                <w:color w:val="auto"/>
                <w:highlight w:val="none"/>
              </w:rPr>
            </w:pPr>
            <w:r>
              <w:rPr>
                <w:rFonts w:eastAsia="仿宋"/>
                <w:color w:val="auto"/>
                <w:sz w:val="24"/>
                <w:szCs w:val="28"/>
                <w:highlight w:val="none"/>
              </w:rPr>
              <w:t>响应供应商自2021年1月1日以来，获得</w:t>
            </w:r>
            <w:r>
              <w:rPr>
                <w:rFonts w:hint="eastAsia" w:eastAsia="仿宋"/>
                <w:color w:val="auto"/>
                <w:sz w:val="24"/>
                <w:szCs w:val="28"/>
                <w:highlight w:val="none"/>
              </w:rPr>
              <w:t>县（市、区）</w:t>
            </w:r>
            <w:r>
              <w:rPr>
                <w:rFonts w:eastAsia="仿宋"/>
                <w:color w:val="auto"/>
                <w:sz w:val="24"/>
                <w:szCs w:val="28"/>
                <w:highlight w:val="none"/>
              </w:rPr>
              <w:t>级建设主管部门荣誉表彰或通报表扬的，每提供1个得</w:t>
            </w:r>
            <w:r>
              <w:rPr>
                <w:rFonts w:hint="eastAsia" w:eastAsia="仿宋"/>
                <w:color w:val="auto"/>
                <w:sz w:val="24"/>
                <w:szCs w:val="28"/>
                <w:highlight w:val="none"/>
              </w:rPr>
              <w:t>2</w:t>
            </w:r>
            <w:r>
              <w:rPr>
                <w:rFonts w:eastAsia="仿宋"/>
                <w:color w:val="auto"/>
                <w:sz w:val="24"/>
                <w:szCs w:val="28"/>
                <w:highlight w:val="none"/>
              </w:rPr>
              <w:t>分，最高得</w:t>
            </w:r>
            <w:r>
              <w:rPr>
                <w:rFonts w:hint="eastAsia" w:eastAsia="仿宋"/>
                <w:color w:val="auto"/>
                <w:sz w:val="24"/>
                <w:szCs w:val="28"/>
                <w:highlight w:val="none"/>
              </w:rPr>
              <w:t>4</w:t>
            </w:r>
            <w:r>
              <w:rPr>
                <w:rFonts w:eastAsia="仿宋"/>
                <w:color w:val="auto"/>
                <w:sz w:val="24"/>
                <w:szCs w:val="28"/>
                <w:highlight w:val="none"/>
              </w:rPr>
              <w:t>分。</w:t>
            </w:r>
          </w:p>
          <w:p w14:paraId="21CF5AAA">
            <w:pPr>
              <w:spacing w:line="300" w:lineRule="exact"/>
              <w:ind w:firstLine="482" w:firstLineChars="200"/>
              <w:rPr>
                <w:rFonts w:ascii="仿宋" w:hAnsi="仿宋" w:eastAsia="仿宋" w:cs="仿宋"/>
                <w:color w:val="auto"/>
                <w:kern w:val="2"/>
                <w:sz w:val="24"/>
                <w:highlight w:val="none"/>
              </w:rPr>
            </w:pPr>
            <w:r>
              <w:rPr>
                <w:rFonts w:hint="eastAsia" w:ascii="仿宋" w:hAnsi="仿宋" w:eastAsia="仿宋" w:cs="仿宋"/>
                <w:b/>
                <w:bCs/>
                <w:color w:val="auto"/>
                <w:sz w:val="24"/>
                <w:szCs w:val="28"/>
                <w:highlight w:val="none"/>
              </w:rPr>
              <w:t>须提供证书或通报表扬复印件并加盖单位公章，不提供不得分。</w:t>
            </w:r>
          </w:p>
        </w:tc>
        <w:tc>
          <w:tcPr>
            <w:tcW w:w="943" w:type="dxa"/>
            <w:tcBorders>
              <w:top w:val="single" w:color="auto" w:sz="4" w:space="0"/>
            </w:tcBorders>
            <w:vAlign w:val="center"/>
          </w:tcPr>
          <w:p w14:paraId="1911AB48">
            <w:pPr>
              <w:spacing w:line="300" w:lineRule="exact"/>
              <w:ind w:firstLine="482" w:firstLineChars="200"/>
              <w:rPr>
                <w:rFonts w:ascii="仿宋" w:hAnsi="仿宋" w:eastAsia="仿宋" w:cs="仿宋"/>
                <w:b/>
                <w:bCs/>
                <w:color w:val="auto"/>
                <w:sz w:val="24"/>
                <w:szCs w:val="28"/>
                <w:highlight w:val="none"/>
              </w:rPr>
            </w:pPr>
          </w:p>
        </w:tc>
      </w:tr>
      <w:tr w14:paraId="79B4B6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847" w:type="dxa"/>
            <w:vAlign w:val="center"/>
          </w:tcPr>
          <w:p w14:paraId="5A0A44CB">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6</w:t>
            </w:r>
          </w:p>
        </w:tc>
        <w:tc>
          <w:tcPr>
            <w:tcW w:w="1201" w:type="dxa"/>
            <w:vAlign w:val="center"/>
          </w:tcPr>
          <w:p w14:paraId="26351949">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w:t>
            </w:r>
          </w:p>
        </w:tc>
        <w:tc>
          <w:tcPr>
            <w:tcW w:w="900" w:type="dxa"/>
            <w:vAlign w:val="center"/>
          </w:tcPr>
          <w:p w14:paraId="740ABBB5">
            <w:pPr>
              <w:adjustRightInd w:val="0"/>
              <w:snapToGrid w:val="0"/>
              <w:jc w:val="center"/>
              <w:rPr>
                <w:rFonts w:ascii="仿宋" w:hAnsi="仿宋" w:eastAsia="仿宋" w:cs="仿宋"/>
                <w:color w:val="auto"/>
                <w:kern w:val="2"/>
                <w:sz w:val="24"/>
                <w:highlight w:val="none"/>
              </w:rPr>
            </w:pPr>
            <w:r>
              <w:rPr>
                <w:rFonts w:hint="eastAsia" w:ascii="仿宋" w:hAnsi="仿宋" w:eastAsia="仿宋" w:cs="仿宋"/>
                <w:color w:val="auto"/>
                <w:kern w:val="2"/>
                <w:sz w:val="24"/>
                <w:highlight w:val="none"/>
              </w:rPr>
              <w:t>20</w:t>
            </w:r>
          </w:p>
        </w:tc>
        <w:tc>
          <w:tcPr>
            <w:tcW w:w="5339" w:type="dxa"/>
            <w:vAlign w:val="center"/>
          </w:tcPr>
          <w:p w14:paraId="4B19BB6A">
            <w:pPr>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价格分应当采用低价优先法计算，即满足磋商文件要求且最后报价中最低报价为评审基准价，其价格分为满分。其他响应供应商的价格分别统一按照下列公式计算：</w:t>
            </w:r>
          </w:p>
          <w:p w14:paraId="62DA905B">
            <w:pPr>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最后报价得分=（评审基准价／最后报价)×价格分分值</w:t>
            </w:r>
          </w:p>
          <w:p w14:paraId="63EE1D47">
            <w:pPr>
              <w:ind w:firstLine="480"/>
              <w:jc w:val="left"/>
              <w:rPr>
                <w:rFonts w:eastAsia="仿宋"/>
                <w:color w:val="auto"/>
                <w:highlight w:val="none"/>
              </w:rPr>
            </w:pPr>
            <w:r>
              <w:rPr>
                <w:rFonts w:hint="eastAsia" w:ascii="仿宋" w:hAnsi="仿宋" w:eastAsia="仿宋" w:cs="仿宋"/>
                <w:color w:val="auto"/>
                <w:sz w:val="24"/>
                <w:highlight w:val="none"/>
              </w:rPr>
              <w:t>磋商过程中，不得去掉报价中的最高报价和最低报价。因落实采购政策进行价格调整的，以调整后的价格计算评审基准价和最后报价。</w:t>
            </w:r>
          </w:p>
        </w:tc>
        <w:tc>
          <w:tcPr>
            <w:tcW w:w="943" w:type="dxa"/>
            <w:vAlign w:val="center"/>
          </w:tcPr>
          <w:p w14:paraId="3FE775D3">
            <w:pPr>
              <w:spacing w:line="300" w:lineRule="exact"/>
              <w:ind w:firstLine="482" w:firstLineChars="200"/>
              <w:rPr>
                <w:rFonts w:ascii="仿宋" w:hAnsi="仿宋" w:eastAsia="仿宋" w:cs="仿宋"/>
                <w:b/>
                <w:bCs/>
                <w:color w:val="auto"/>
                <w:sz w:val="24"/>
                <w:szCs w:val="28"/>
                <w:highlight w:val="none"/>
              </w:rPr>
            </w:pPr>
          </w:p>
        </w:tc>
      </w:tr>
      <w:tr w14:paraId="759A39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2048" w:type="dxa"/>
            <w:gridSpan w:val="2"/>
            <w:vAlign w:val="center"/>
          </w:tcPr>
          <w:p w14:paraId="795D720F">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合计</w:t>
            </w:r>
          </w:p>
        </w:tc>
        <w:tc>
          <w:tcPr>
            <w:tcW w:w="900" w:type="dxa"/>
            <w:vAlign w:val="center"/>
          </w:tcPr>
          <w:p w14:paraId="36BD25CB">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100</w:t>
            </w:r>
          </w:p>
        </w:tc>
        <w:tc>
          <w:tcPr>
            <w:tcW w:w="5339" w:type="dxa"/>
            <w:vAlign w:val="center"/>
          </w:tcPr>
          <w:p w14:paraId="35B2FD73">
            <w:pPr>
              <w:adjustRightInd w:val="0"/>
              <w:snapToGrid w:val="0"/>
              <w:jc w:val="center"/>
              <w:rPr>
                <w:rFonts w:ascii="仿宋" w:hAnsi="仿宋" w:eastAsia="仿宋" w:cs="仿宋"/>
                <w:color w:val="auto"/>
                <w:sz w:val="24"/>
                <w:highlight w:val="none"/>
              </w:rPr>
            </w:pPr>
          </w:p>
        </w:tc>
        <w:tc>
          <w:tcPr>
            <w:tcW w:w="943" w:type="dxa"/>
            <w:vAlign w:val="center"/>
          </w:tcPr>
          <w:p w14:paraId="065614F9">
            <w:pPr>
              <w:adjustRightInd w:val="0"/>
              <w:snapToGrid w:val="0"/>
              <w:jc w:val="center"/>
              <w:rPr>
                <w:rFonts w:ascii="仿宋" w:hAnsi="仿宋" w:eastAsia="仿宋" w:cs="仿宋"/>
                <w:color w:val="auto"/>
                <w:sz w:val="24"/>
                <w:highlight w:val="none"/>
              </w:rPr>
            </w:pPr>
          </w:p>
        </w:tc>
      </w:tr>
    </w:tbl>
    <w:p w14:paraId="35527BE9">
      <w:pPr>
        <w:pStyle w:val="14"/>
        <w:spacing w:line="240" w:lineRule="auto"/>
        <w:ind w:firstLine="0"/>
        <w:jc w:val="both"/>
        <w:rPr>
          <w:rFonts w:ascii="方正小标宋简体" w:eastAsia="方正小标宋简体"/>
          <w:color w:val="auto"/>
          <w:sz w:val="32"/>
          <w:szCs w:val="32"/>
          <w:highlight w:val="none"/>
        </w:rPr>
      </w:pPr>
    </w:p>
    <w:p w14:paraId="08756414">
      <w:pPr>
        <w:pStyle w:val="14"/>
        <w:spacing w:line="240" w:lineRule="auto"/>
        <w:ind w:firstLine="0"/>
        <w:jc w:val="both"/>
        <w:rPr>
          <w:rFonts w:ascii="方正小标宋简体" w:eastAsia="方正小标宋简体"/>
          <w:color w:val="auto"/>
          <w:sz w:val="32"/>
          <w:szCs w:val="32"/>
          <w:highlight w:val="none"/>
        </w:rPr>
      </w:pPr>
    </w:p>
    <w:p w14:paraId="335EC23E">
      <w:pPr>
        <w:pStyle w:val="14"/>
        <w:spacing w:line="240" w:lineRule="auto"/>
        <w:ind w:firstLine="0"/>
        <w:jc w:val="both"/>
        <w:rPr>
          <w:rFonts w:ascii="方正小标宋简体" w:eastAsia="方正小标宋简体"/>
          <w:color w:val="auto"/>
          <w:sz w:val="32"/>
          <w:szCs w:val="32"/>
          <w:highlight w:val="none"/>
        </w:rPr>
      </w:pPr>
    </w:p>
    <w:p w14:paraId="3027822C">
      <w:pPr>
        <w:pStyle w:val="14"/>
        <w:spacing w:line="240" w:lineRule="auto"/>
        <w:ind w:firstLine="0"/>
        <w:jc w:val="both"/>
        <w:rPr>
          <w:rFonts w:ascii="方正小标宋简体" w:eastAsia="方正小标宋简体"/>
          <w:color w:val="auto"/>
          <w:sz w:val="32"/>
          <w:szCs w:val="32"/>
          <w:highlight w:val="none"/>
        </w:rPr>
      </w:pPr>
    </w:p>
    <w:p w14:paraId="3D5219F1">
      <w:pPr>
        <w:pStyle w:val="14"/>
        <w:spacing w:line="240" w:lineRule="auto"/>
        <w:ind w:firstLine="0"/>
        <w:jc w:val="both"/>
        <w:rPr>
          <w:rFonts w:ascii="方正小标宋简体" w:eastAsia="方正小标宋简体"/>
          <w:color w:val="auto"/>
          <w:sz w:val="32"/>
          <w:szCs w:val="32"/>
          <w:highlight w:val="none"/>
        </w:rPr>
      </w:pPr>
    </w:p>
    <w:p w14:paraId="61E05F00">
      <w:pPr>
        <w:pStyle w:val="14"/>
        <w:spacing w:line="240" w:lineRule="auto"/>
        <w:ind w:firstLine="0"/>
        <w:jc w:val="both"/>
        <w:rPr>
          <w:rFonts w:ascii="方正小标宋简体" w:eastAsia="方正小标宋简体"/>
          <w:color w:val="auto"/>
          <w:sz w:val="32"/>
          <w:szCs w:val="32"/>
          <w:highlight w:val="none"/>
        </w:rPr>
      </w:pPr>
    </w:p>
    <w:p w14:paraId="5D4101E2">
      <w:pPr>
        <w:pStyle w:val="14"/>
        <w:spacing w:line="240" w:lineRule="auto"/>
        <w:ind w:firstLine="0"/>
        <w:jc w:val="both"/>
        <w:rPr>
          <w:rFonts w:ascii="方正小标宋简体" w:eastAsia="方正小标宋简体"/>
          <w:color w:val="auto"/>
          <w:sz w:val="32"/>
          <w:szCs w:val="32"/>
          <w:highlight w:val="none"/>
        </w:rPr>
      </w:pPr>
    </w:p>
    <w:p w14:paraId="73BDFA03">
      <w:pPr>
        <w:pStyle w:val="14"/>
        <w:spacing w:line="240" w:lineRule="auto"/>
        <w:ind w:firstLine="0"/>
        <w:jc w:val="both"/>
        <w:rPr>
          <w:rFonts w:ascii="方正小标宋简体" w:eastAsia="方正小标宋简体"/>
          <w:color w:val="auto"/>
          <w:sz w:val="32"/>
          <w:szCs w:val="32"/>
          <w:highlight w:val="none"/>
        </w:rPr>
      </w:pPr>
    </w:p>
    <w:p w14:paraId="0BE9D0A4">
      <w:pPr>
        <w:pStyle w:val="14"/>
        <w:spacing w:line="240" w:lineRule="auto"/>
        <w:ind w:firstLine="0"/>
        <w:jc w:val="both"/>
        <w:rPr>
          <w:rFonts w:ascii="方正小标宋简体" w:eastAsia="方正小标宋简体"/>
          <w:color w:val="auto"/>
          <w:sz w:val="32"/>
          <w:szCs w:val="32"/>
          <w:highlight w:val="none"/>
        </w:rPr>
      </w:pPr>
    </w:p>
    <w:p w14:paraId="012DB272">
      <w:pPr>
        <w:pStyle w:val="14"/>
        <w:spacing w:line="240" w:lineRule="auto"/>
        <w:ind w:firstLine="0"/>
        <w:jc w:val="both"/>
        <w:rPr>
          <w:rFonts w:ascii="方正小标宋简体" w:eastAsia="方正小标宋简体"/>
          <w:color w:val="auto"/>
          <w:sz w:val="32"/>
          <w:szCs w:val="32"/>
          <w:highlight w:val="none"/>
        </w:rPr>
      </w:pPr>
    </w:p>
    <w:p w14:paraId="4EB9EE13">
      <w:pPr>
        <w:pStyle w:val="14"/>
        <w:spacing w:line="240" w:lineRule="auto"/>
        <w:ind w:firstLine="0"/>
        <w:jc w:val="both"/>
        <w:rPr>
          <w:rFonts w:ascii="方正小标宋简体" w:eastAsia="方正小标宋简体"/>
          <w:color w:val="auto"/>
          <w:sz w:val="32"/>
          <w:szCs w:val="32"/>
          <w:highlight w:val="none"/>
        </w:rPr>
      </w:pPr>
    </w:p>
    <w:p w14:paraId="4A481B33">
      <w:pPr>
        <w:pStyle w:val="14"/>
        <w:spacing w:line="240" w:lineRule="auto"/>
        <w:ind w:firstLine="0"/>
        <w:jc w:val="both"/>
        <w:rPr>
          <w:rFonts w:ascii="方正小标宋简体" w:eastAsia="方正小标宋简体"/>
          <w:color w:val="auto"/>
          <w:sz w:val="32"/>
          <w:szCs w:val="32"/>
          <w:highlight w:val="none"/>
        </w:rPr>
      </w:pPr>
    </w:p>
    <w:p w14:paraId="720770F9">
      <w:pPr>
        <w:pStyle w:val="14"/>
        <w:spacing w:line="240" w:lineRule="auto"/>
        <w:ind w:firstLine="0"/>
        <w:jc w:val="center"/>
        <w:rPr>
          <w:rFonts w:ascii="方正小标宋简体" w:eastAsia="方正小标宋简体"/>
          <w:color w:val="auto"/>
          <w:sz w:val="32"/>
          <w:szCs w:val="32"/>
          <w:highlight w:val="none"/>
        </w:rPr>
      </w:pPr>
      <w:r>
        <w:rPr>
          <w:rFonts w:hint="eastAsia" w:ascii="方正小标宋简体" w:eastAsia="方正小标宋简体"/>
          <w:bCs/>
          <w:color w:val="auto"/>
          <w:sz w:val="32"/>
          <w:szCs w:val="32"/>
          <w:highlight w:val="none"/>
        </w:rPr>
        <w:t>第6章 竞争性磋商响应文件组成</w:t>
      </w:r>
    </w:p>
    <w:p w14:paraId="4B3268CC">
      <w:pPr>
        <w:rPr>
          <w:rFonts w:ascii="方正小标宋简体" w:hAnsi="仿宋" w:eastAsia="方正小标宋简体"/>
          <w:color w:val="auto"/>
          <w:sz w:val="44"/>
          <w:szCs w:val="44"/>
          <w:highlight w:val="none"/>
        </w:rPr>
      </w:pPr>
    </w:p>
    <w:p w14:paraId="78FC10FA">
      <w:pPr>
        <w:jc w:val="center"/>
        <w:rPr>
          <w:rFonts w:ascii="方正小标宋简体" w:hAnsi="仿宋" w:eastAsia="方正小标宋简体"/>
          <w:color w:val="auto"/>
          <w:sz w:val="44"/>
          <w:szCs w:val="44"/>
          <w:highlight w:val="none"/>
        </w:rPr>
      </w:pPr>
    </w:p>
    <w:p w14:paraId="45947324">
      <w:pPr>
        <w:jc w:val="center"/>
        <w:rPr>
          <w:rFonts w:ascii="方正小标宋简体" w:hAnsi="仿宋" w:eastAsia="方正小标宋简体"/>
          <w:color w:val="auto"/>
          <w:sz w:val="44"/>
          <w:szCs w:val="44"/>
          <w:highlight w:val="none"/>
        </w:rPr>
      </w:pPr>
      <w:r>
        <w:rPr>
          <w:rFonts w:hint="eastAsia" w:ascii="方正小标宋简体" w:hAnsi="仿宋" w:eastAsia="方正小标宋简体"/>
          <w:color w:val="auto"/>
          <w:sz w:val="44"/>
          <w:szCs w:val="44"/>
          <w:highlight w:val="none"/>
        </w:rPr>
        <w:t>如皋市政府采购竞争性磋商响应文件</w:t>
      </w:r>
    </w:p>
    <w:p w14:paraId="4568345E">
      <w:pPr>
        <w:ind w:firstLine="1434"/>
        <w:rPr>
          <w:rFonts w:ascii="宋体" w:hAnsi="宋体"/>
          <w:b/>
          <w:bCs/>
          <w:color w:val="auto"/>
          <w:sz w:val="24"/>
          <w:highlight w:val="none"/>
        </w:rPr>
      </w:pPr>
    </w:p>
    <w:p w14:paraId="512635C3">
      <w:pPr>
        <w:ind w:firstLine="1434"/>
        <w:rPr>
          <w:rFonts w:ascii="宋体" w:hAnsi="宋体"/>
          <w:b/>
          <w:bCs/>
          <w:color w:val="auto"/>
          <w:sz w:val="24"/>
          <w:highlight w:val="none"/>
        </w:rPr>
      </w:pPr>
    </w:p>
    <w:p w14:paraId="6234FE14">
      <w:pPr>
        <w:ind w:firstLine="2072"/>
        <w:rPr>
          <w:rFonts w:ascii="宋体" w:hAnsi="宋体"/>
          <w:b/>
          <w:bCs/>
          <w:color w:val="auto"/>
          <w:sz w:val="32"/>
          <w:szCs w:val="32"/>
          <w:highlight w:val="none"/>
        </w:rPr>
      </w:pPr>
    </w:p>
    <w:p w14:paraId="061E7FDD">
      <w:pPr>
        <w:ind w:firstLine="2072"/>
        <w:rPr>
          <w:rFonts w:ascii="宋体" w:hAnsi="宋体"/>
          <w:b/>
          <w:bCs/>
          <w:color w:val="auto"/>
          <w:sz w:val="32"/>
          <w:szCs w:val="32"/>
          <w:highlight w:val="none"/>
        </w:rPr>
      </w:pPr>
    </w:p>
    <w:p w14:paraId="11042E58">
      <w:pPr>
        <w:ind w:firstLine="2072"/>
        <w:rPr>
          <w:rFonts w:ascii="宋体" w:hAnsi="宋体"/>
          <w:b/>
          <w:color w:val="auto"/>
          <w:sz w:val="32"/>
          <w:szCs w:val="32"/>
          <w:highlight w:val="none"/>
        </w:rPr>
      </w:pPr>
      <w:r>
        <w:rPr>
          <w:rFonts w:hint="eastAsia" w:ascii="宋体" w:hAnsi="宋体"/>
          <w:b/>
          <w:color w:val="auto"/>
          <w:sz w:val="32"/>
          <w:szCs w:val="32"/>
          <w:highlight w:val="none"/>
        </w:rPr>
        <w:t>项目名称：</w:t>
      </w:r>
    </w:p>
    <w:p w14:paraId="2931EDCB">
      <w:pPr>
        <w:ind w:firstLine="2072"/>
        <w:rPr>
          <w:rFonts w:ascii="宋体" w:hAnsi="宋体"/>
          <w:b/>
          <w:color w:val="auto"/>
          <w:sz w:val="32"/>
          <w:szCs w:val="32"/>
          <w:highlight w:val="none"/>
          <w:u w:val="single"/>
        </w:rPr>
      </w:pPr>
      <w:r>
        <w:rPr>
          <w:rFonts w:hint="eastAsia" w:ascii="宋体" w:hAnsi="宋体"/>
          <w:b/>
          <w:color w:val="auto"/>
          <w:sz w:val="32"/>
          <w:szCs w:val="32"/>
          <w:highlight w:val="none"/>
        </w:rPr>
        <w:t>项目编号：</w:t>
      </w:r>
    </w:p>
    <w:p w14:paraId="3B98E41F">
      <w:pPr>
        <w:jc w:val="center"/>
        <w:rPr>
          <w:rFonts w:ascii="宋体" w:hAnsi="宋体"/>
          <w:b/>
          <w:color w:val="auto"/>
          <w:sz w:val="32"/>
          <w:szCs w:val="32"/>
          <w:highlight w:val="none"/>
          <w:u w:val="single"/>
        </w:rPr>
      </w:pPr>
    </w:p>
    <w:p w14:paraId="40D8697A">
      <w:pPr>
        <w:jc w:val="center"/>
        <w:rPr>
          <w:rFonts w:ascii="宋体" w:hAnsi="宋体"/>
          <w:b/>
          <w:color w:val="auto"/>
          <w:sz w:val="32"/>
          <w:szCs w:val="32"/>
          <w:highlight w:val="none"/>
          <w:u w:val="single"/>
        </w:rPr>
      </w:pPr>
    </w:p>
    <w:p w14:paraId="25FC54B6">
      <w:pPr>
        <w:jc w:val="center"/>
        <w:rPr>
          <w:rFonts w:ascii="宋体" w:hAnsi="宋体"/>
          <w:b/>
          <w:color w:val="auto"/>
          <w:sz w:val="32"/>
          <w:szCs w:val="32"/>
          <w:highlight w:val="none"/>
          <w:u w:val="single"/>
        </w:rPr>
      </w:pPr>
    </w:p>
    <w:p w14:paraId="522EC80E">
      <w:pPr>
        <w:jc w:val="center"/>
        <w:rPr>
          <w:rFonts w:ascii="宋体" w:hAnsi="宋体"/>
          <w:b/>
          <w:color w:val="auto"/>
          <w:sz w:val="32"/>
          <w:szCs w:val="32"/>
          <w:highlight w:val="none"/>
          <w:u w:val="single"/>
        </w:rPr>
      </w:pPr>
    </w:p>
    <w:p w14:paraId="49FA0CCB">
      <w:pPr>
        <w:jc w:val="center"/>
        <w:rPr>
          <w:rFonts w:ascii="宋体" w:hAnsi="宋体"/>
          <w:b/>
          <w:bCs/>
          <w:color w:val="auto"/>
          <w:sz w:val="32"/>
          <w:szCs w:val="32"/>
          <w:highlight w:val="none"/>
          <w:u w:val="single"/>
        </w:rPr>
      </w:pPr>
    </w:p>
    <w:p w14:paraId="4CAA4797">
      <w:pPr>
        <w:jc w:val="center"/>
        <w:rPr>
          <w:rFonts w:ascii="宋体" w:hAnsi="宋体"/>
          <w:b/>
          <w:bCs/>
          <w:color w:val="auto"/>
          <w:sz w:val="32"/>
          <w:szCs w:val="32"/>
          <w:highlight w:val="none"/>
          <w:u w:val="single"/>
        </w:rPr>
      </w:pPr>
    </w:p>
    <w:p w14:paraId="04FD0F39">
      <w:pPr>
        <w:jc w:val="center"/>
        <w:rPr>
          <w:rFonts w:ascii="宋体" w:hAnsi="宋体"/>
          <w:b/>
          <w:bCs/>
          <w:color w:val="auto"/>
          <w:sz w:val="32"/>
          <w:szCs w:val="32"/>
          <w:highlight w:val="none"/>
          <w:u w:val="single"/>
        </w:rPr>
      </w:pPr>
    </w:p>
    <w:p w14:paraId="3FF3123E">
      <w:pPr>
        <w:jc w:val="center"/>
        <w:rPr>
          <w:rFonts w:ascii="宋体" w:hAnsi="宋体"/>
          <w:b/>
          <w:bCs/>
          <w:color w:val="auto"/>
          <w:sz w:val="32"/>
          <w:szCs w:val="32"/>
          <w:highlight w:val="none"/>
          <w:u w:val="single"/>
        </w:rPr>
      </w:pPr>
    </w:p>
    <w:p w14:paraId="7F3A2800">
      <w:pPr>
        <w:jc w:val="center"/>
        <w:rPr>
          <w:rFonts w:ascii="宋体" w:hAnsi="宋体"/>
          <w:b/>
          <w:bCs/>
          <w:color w:val="auto"/>
          <w:sz w:val="32"/>
          <w:szCs w:val="32"/>
          <w:highlight w:val="none"/>
          <w:u w:val="single"/>
        </w:rPr>
      </w:pPr>
    </w:p>
    <w:p w14:paraId="2CD5CDB9">
      <w:pPr>
        <w:jc w:val="center"/>
        <w:rPr>
          <w:rFonts w:ascii="宋体" w:hAnsi="宋体"/>
          <w:b/>
          <w:bCs/>
          <w:color w:val="auto"/>
          <w:sz w:val="32"/>
          <w:szCs w:val="32"/>
          <w:highlight w:val="none"/>
          <w:u w:val="single"/>
        </w:rPr>
      </w:pPr>
    </w:p>
    <w:p w14:paraId="33414811">
      <w:pPr>
        <w:jc w:val="center"/>
        <w:rPr>
          <w:rFonts w:ascii="宋体" w:hAnsi="宋体"/>
          <w:b/>
          <w:bCs/>
          <w:color w:val="auto"/>
          <w:sz w:val="32"/>
          <w:szCs w:val="32"/>
          <w:highlight w:val="none"/>
          <w:u w:val="single"/>
        </w:rPr>
      </w:pPr>
    </w:p>
    <w:p w14:paraId="6D88F766">
      <w:pPr>
        <w:jc w:val="center"/>
        <w:rPr>
          <w:rFonts w:ascii="宋体" w:hAnsi="宋体"/>
          <w:b/>
          <w:bCs/>
          <w:color w:val="auto"/>
          <w:sz w:val="32"/>
          <w:szCs w:val="32"/>
          <w:highlight w:val="none"/>
          <w:u w:val="single"/>
        </w:rPr>
      </w:pPr>
    </w:p>
    <w:p w14:paraId="4E072B6A">
      <w:pPr>
        <w:pStyle w:val="15"/>
        <w:spacing w:line="240" w:lineRule="auto"/>
        <w:rPr>
          <w:rFonts w:ascii="文鼎CS楷体" w:eastAsia="文鼎CS楷体"/>
          <w:b/>
          <w:bCs/>
          <w:color w:val="auto"/>
          <w:sz w:val="32"/>
          <w:szCs w:val="32"/>
          <w:highlight w:val="none"/>
        </w:rPr>
      </w:pPr>
    </w:p>
    <w:p w14:paraId="58C481E3">
      <w:pPr>
        <w:pStyle w:val="15"/>
        <w:spacing w:line="240" w:lineRule="auto"/>
        <w:rPr>
          <w:rFonts w:ascii="文鼎CS楷体" w:eastAsia="文鼎CS楷体"/>
          <w:b/>
          <w:bCs/>
          <w:color w:val="auto"/>
          <w:sz w:val="32"/>
          <w:szCs w:val="32"/>
          <w:highlight w:val="none"/>
        </w:rPr>
      </w:pPr>
    </w:p>
    <w:p w14:paraId="47DA833F">
      <w:pPr>
        <w:pStyle w:val="15"/>
        <w:spacing w:line="240" w:lineRule="auto"/>
        <w:rPr>
          <w:rFonts w:ascii="文鼎CS楷体" w:eastAsia="文鼎CS楷体"/>
          <w:b/>
          <w:bCs/>
          <w:color w:val="auto"/>
          <w:sz w:val="32"/>
          <w:szCs w:val="32"/>
          <w:highlight w:val="none"/>
        </w:rPr>
      </w:pPr>
    </w:p>
    <w:p w14:paraId="3E4DA47E">
      <w:pPr>
        <w:rPr>
          <w:color w:val="auto"/>
          <w:sz w:val="32"/>
          <w:szCs w:val="32"/>
          <w:highlight w:val="none"/>
          <w:u w:val="single"/>
        </w:rPr>
      </w:pPr>
      <w:r>
        <w:rPr>
          <w:rFonts w:hint="eastAsia"/>
          <w:b/>
          <w:color w:val="auto"/>
          <w:sz w:val="32"/>
          <w:szCs w:val="32"/>
          <w:highlight w:val="none"/>
        </w:rPr>
        <w:t>供应商名称：</w:t>
      </w:r>
    </w:p>
    <w:p w14:paraId="5549575A">
      <w:pPr>
        <w:rPr>
          <w:rFonts w:ascii="宋体" w:hAnsi="宋体"/>
          <w:b/>
          <w:color w:val="auto"/>
          <w:sz w:val="32"/>
          <w:szCs w:val="32"/>
          <w:highlight w:val="none"/>
        </w:rPr>
      </w:pPr>
      <w:r>
        <w:rPr>
          <w:rFonts w:hint="eastAsia" w:ascii="宋体" w:hAnsi="宋体"/>
          <w:b/>
          <w:color w:val="auto"/>
          <w:sz w:val="32"/>
          <w:szCs w:val="32"/>
          <w:highlight w:val="none"/>
        </w:rPr>
        <w:t xml:space="preserve">地址： </w:t>
      </w:r>
    </w:p>
    <w:p w14:paraId="00FB9494">
      <w:pPr>
        <w:rPr>
          <w:rFonts w:ascii="宋体" w:hAnsi="宋体"/>
          <w:b/>
          <w:color w:val="auto"/>
          <w:sz w:val="32"/>
          <w:szCs w:val="32"/>
          <w:highlight w:val="none"/>
        </w:rPr>
      </w:pPr>
      <w:r>
        <w:rPr>
          <w:rFonts w:hint="eastAsia"/>
          <w:b/>
          <w:color w:val="auto"/>
          <w:sz w:val="32"/>
          <w:szCs w:val="32"/>
          <w:highlight w:val="none"/>
        </w:rPr>
        <w:t>联系</w:t>
      </w:r>
      <w:r>
        <w:rPr>
          <w:rFonts w:hint="eastAsia" w:ascii="宋体" w:hAnsi="宋体"/>
          <w:b/>
          <w:color w:val="auto"/>
          <w:sz w:val="32"/>
          <w:szCs w:val="32"/>
          <w:highlight w:val="none"/>
        </w:rPr>
        <w:t xml:space="preserve">电话： </w:t>
      </w:r>
    </w:p>
    <w:p w14:paraId="2A827119">
      <w:pPr>
        <w:jc w:val="center"/>
        <w:rPr>
          <w:rFonts w:ascii="宋体" w:hAnsi="宋体"/>
          <w:b/>
          <w:color w:val="auto"/>
          <w:sz w:val="32"/>
          <w:szCs w:val="32"/>
          <w:highlight w:val="none"/>
        </w:rPr>
      </w:pPr>
      <w:r>
        <w:rPr>
          <w:rFonts w:hint="eastAsia" w:ascii="宋体" w:hAnsi="宋体"/>
          <w:b/>
          <w:color w:val="auto"/>
          <w:sz w:val="32"/>
          <w:szCs w:val="32"/>
          <w:highlight w:val="none"/>
        </w:rPr>
        <w:t>年月日</w:t>
      </w:r>
    </w:p>
    <w:p w14:paraId="0060B91E">
      <w:pPr>
        <w:ind w:firstLine="954"/>
        <w:rPr>
          <w:rFonts w:ascii="宋体" w:hAnsi="宋体"/>
          <w:b/>
          <w:color w:val="auto"/>
          <w:sz w:val="24"/>
          <w:highlight w:val="none"/>
        </w:rPr>
      </w:pPr>
    </w:p>
    <w:p w14:paraId="78B82DDF">
      <w:pPr>
        <w:ind w:firstLine="560"/>
        <w:rPr>
          <w:rFonts w:ascii="仿宋" w:hAnsi="仿宋" w:eastAsia="仿宋"/>
          <w:color w:val="auto"/>
          <w:sz w:val="28"/>
          <w:szCs w:val="28"/>
          <w:highlight w:val="none"/>
        </w:rPr>
      </w:pPr>
    </w:p>
    <w:p w14:paraId="43993961">
      <w:pPr>
        <w:ind w:firstLine="560"/>
        <w:rPr>
          <w:rFonts w:ascii="黑体" w:hAnsi="黑体" w:eastAsia="黑体"/>
          <w:color w:val="auto"/>
          <w:sz w:val="28"/>
          <w:szCs w:val="28"/>
          <w:highlight w:val="none"/>
        </w:rPr>
      </w:pPr>
      <w:r>
        <w:rPr>
          <w:rFonts w:hint="eastAsia" w:ascii="黑体" w:hAnsi="黑体" w:eastAsia="黑体"/>
          <w:color w:val="auto"/>
          <w:sz w:val="28"/>
          <w:szCs w:val="28"/>
          <w:highlight w:val="none"/>
        </w:rPr>
        <w:t>一、资格证明文件</w:t>
      </w:r>
    </w:p>
    <w:p w14:paraId="6ADD9A09">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（一）</w:t>
      </w:r>
      <w:r>
        <w:rPr>
          <w:rFonts w:hint="eastAsia" w:ascii="仿宋" w:hAnsi="仿宋" w:eastAsia="仿宋" w:cs="Arial"/>
          <w:color w:val="auto"/>
          <w:sz w:val="28"/>
          <w:szCs w:val="28"/>
          <w:highlight w:val="none"/>
        </w:rPr>
        <w:t>法人或者其他组织的营业执照，自然人的身份证（复印件）。</w:t>
      </w:r>
    </w:p>
    <w:p w14:paraId="460D6CB6">
      <w:pPr>
        <w:spacing w:before="50"/>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（二）参加本次政府采购活动前的会计报表</w:t>
      </w:r>
      <w:r>
        <w:rPr>
          <w:rFonts w:hint="eastAsia" w:ascii="仿宋" w:hAnsi="仿宋" w:eastAsia="仿宋" w:cs="Arial"/>
          <w:color w:val="auto"/>
          <w:sz w:val="28"/>
          <w:szCs w:val="28"/>
          <w:highlight w:val="none"/>
        </w:rPr>
        <w:t>（复印件，成立不满一年不需提供）。</w:t>
      </w:r>
    </w:p>
    <w:p w14:paraId="56541A62">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（复印件）。</w:t>
      </w:r>
    </w:p>
    <w:p w14:paraId="7F05AA2F">
      <w:pPr>
        <w:spacing w:before="50"/>
        <w:ind w:firstLine="560"/>
        <w:jc w:val="left"/>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（四）根据项目需求提供履行合同</w:t>
      </w:r>
      <w:r>
        <w:rPr>
          <w:rFonts w:hint="eastAsia" w:ascii="仿宋" w:hAnsi="仿宋" w:eastAsia="仿宋" w:cs="Arial"/>
          <w:color w:val="auto"/>
          <w:sz w:val="28"/>
          <w:szCs w:val="28"/>
          <w:highlight w:val="none"/>
        </w:rPr>
        <w:t>必需的设备和专业技术能力的声明及证明材料。</w:t>
      </w:r>
    </w:p>
    <w:p w14:paraId="02E69F79">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声  明</w:t>
      </w:r>
    </w:p>
    <w:p w14:paraId="74CF665E">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我公司郑重声明：我公司具备履行本项采购合同所必需的设备和专业技术能力，为履行本项采购合同我公司具备如下主要设备和主要专业技术能力：</w:t>
      </w:r>
    </w:p>
    <w:p w14:paraId="519E9C9F">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主要设备有：________。</w:t>
      </w:r>
    </w:p>
    <w:p w14:paraId="25A9270A">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主要专业技术能力有：________。</w:t>
      </w:r>
    </w:p>
    <w:p w14:paraId="7CDD4493">
      <w:pPr>
        <w:ind w:firstLine="560"/>
        <w:rPr>
          <w:rFonts w:ascii="仿宋" w:hAnsi="仿宋" w:eastAsia="仿宋"/>
          <w:color w:val="auto"/>
          <w:sz w:val="28"/>
          <w:szCs w:val="28"/>
          <w:highlight w:val="none"/>
        </w:rPr>
      </w:pPr>
    </w:p>
    <w:p w14:paraId="3565E663">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供应商名称（公章）：</w:t>
      </w:r>
    </w:p>
    <w:p w14:paraId="7EED6BB1">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p>
    <w:p w14:paraId="426533E7">
      <w:pPr>
        <w:spacing w:before="50"/>
        <w:ind w:firstLine="560"/>
        <w:jc w:val="lef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p>
    <w:p w14:paraId="7C9C391C">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（五）</w:t>
      </w:r>
      <w:r>
        <w:rPr>
          <w:rFonts w:hint="eastAsia" w:ascii="仿宋" w:hAnsi="仿宋" w:eastAsia="仿宋" w:cs="Arial"/>
          <w:color w:val="auto"/>
          <w:sz w:val="28"/>
          <w:szCs w:val="28"/>
          <w:highlight w:val="none"/>
        </w:rPr>
        <w:t>参加本次政府采购活动前 3 年内在经营活动中没有重大违法记录的书面声明。</w:t>
      </w:r>
    </w:p>
    <w:p w14:paraId="52AD2FA6">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声  明</w:t>
      </w:r>
    </w:p>
    <w:p w14:paraId="6C3323A7">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我公司郑重声明：参加本次政府采购活动前 3 年内，我公司在经营活动中没有因违法经营受到刑事处罚或者责令停产停业、吊销许可证或者执照、较大数额罚款等行政处罚。</w:t>
      </w:r>
    </w:p>
    <w:p w14:paraId="01300C8A">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在响应文件提交截止时间前，没有被“信用中国”（</w:t>
      </w:r>
      <w:r>
        <w:rPr>
          <w:rFonts w:ascii="仿宋" w:hAnsi="仿宋" w:eastAsia="仿宋"/>
          <w:color w:val="auto"/>
          <w:sz w:val="28"/>
          <w:szCs w:val="28"/>
          <w:highlight w:val="none"/>
        </w:rPr>
        <w:t>www.creditchina.gov.cn</w:t>
      </w:r>
      <w:r>
        <w:rPr>
          <w:rFonts w:hint="eastAsia" w:ascii="仿宋" w:hAnsi="仿宋" w:eastAsia="仿宋"/>
          <w:color w:val="auto"/>
          <w:sz w:val="28"/>
          <w:szCs w:val="28"/>
          <w:highlight w:val="none"/>
        </w:rPr>
        <w:t>）、“中国政府采购网”（</w:t>
      </w:r>
      <w:r>
        <w:rPr>
          <w:rFonts w:ascii="仿宋" w:hAnsi="仿宋" w:eastAsia="仿宋"/>
          <w:color w:val="auto"/>
          <w:sz w:val="28"/>
          <w:szCs w:val="28"/>
          <w:highlight w:val="none"/>
        </w:rPr>
        <w:t>www.ccgp.gov.cn</w:t>
      </w:r>
      <w:r>
        <w:rPr>
          <w:rFonts w:hint="eastAsia" w:ascii="仿宋" w:hAnsi="仿宋" w:eastAsia="仿宋"/>
          <w:color w:val="auto"/>
          <w:sz w:val="28"/>
          <w:szCs w:val="28"/>
          <w:highlight w:val="none"/>
        </w:rPr>
        <w:t>）、“信用江苏”（</w:t>
      </w:r>
      <w:r>
        <w:rPr>
          <w:rFonts w:ascii="仿宋" w:hAnsi="仿宋" w:eastAsia="仿宋"/>
          <w:color w:val="auto"/>
          <w:sz w:val="28"/>
          <w:szCs w:val="28"/>
          <w:highlight w:val="none"/>
        </w:rPr>
        <w:t>www.jscredit.cn/index.htm</w:t>
      </w:r>
      <w:r>
        <w:rPr>
          <w:rFonts w:hint="eastAsia" w:ascii="仿宋" w:hAnsi="仿宋" w:eastAsia="仿宋"/>
          <w:color w:val="auto"/>
          <w:sz w:val="28"/>
          <w:szCs w:val="28"/>
          <w:highlight w:val="none"/>
        </w:rPr>
        <w:t>）网站列入失信被执行人、重大税收违法案件当事人名单、政府采购严重违法失信行为记录名单。</w:t>
      </w:r>
    </w:p>
    <w:p w14:paraId="509FB38D">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p>
    <w:p w14:paraId="18346A0F">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p>
    <w:p w14:paraId="69E03488">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p>
    <w:p w14:paraId="1D25E313">
      <w:pPr>
        <w:spacing w:before="50"/>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（六）项目实施所必须的许可资质证明材料</w:t>
      </w:r>
    </w:p>
    <w:p w14:paraId="61AA4026">
      <w:pPr>
        <w:spacing w:before="50"/>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（1）响应供应商必须是具备建设行政主管部门颁发的《建设工程质量检测机构资质证书》和省级及以上主管部门颁发的《计量认证证书》。</w:t>
      </w:r>
    </w:p>
    <w:p w14:paraId="5A2354AC">
      <w:pPr>
        <w:spacing w:before="50"/>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（2）响应供应商在社会消防技术服务信息系统备案服务类型为消防安全评估。须提供网站截图并加盖公章。</w:t>
      </w:r>
    </w:p>
    <w:p w14:paraId="052FFBFA">
      <w:pPr>
        <w:spacing w:before="50"/>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（3）响应供应商拟派项目负责人须具有省级及以上建设行政主管部门或相关机构核发的建设工程质量检测人员岗位合格证，及建筑工程类专业高级工程师技术职称。</w:t>
      </w:r>
    </w:p>
    <w:p w14:paraId="7F0331AD">
      <w:pPr>
        <w:spacing w:before="50"/>
        <w:ind w:firstLine="560"/>
        <w:jc w:val="left"/>
        <w:rPr>
          <w:rFonts w:ascii="仿宋" w:hAnsi="仿宋" w:eastAsia="仿宋"/>
          <w:color w:val="auto"/>
          <w:sz w:val="28"/>
          <w:szCs w:val="28"/>
          <w:highlight w:val="none"/>
        </w:rPr>
      </w:pPr>
      <w:r>
        <w:rPr>
          <w:rFonts w:hint="eastAsia" w:ascii="仿宋" w:hAnsi="仿宋" w:eastAsia="仿宋"/>
          <w:iCs/>
          <w:color w:val="auto"/>
          <w:sz w:val="28"/>
          <w:szCs w:val="28"/>
          <w:highlight w:val="none"/>
        </w:rPr>
        <w:t>（4）本项目属于专门面向中小企业采购的项目，供应商应当提交《中小企业声明函》，该项目所属行业为其他未列明行业。</w:t>
      </w:r>
    </w:p>
    <w:p w14:paraId="10D223D1">
      <w:pPr>
        <w:spacing w:before="50"/>
        <w:ind w:firstLine="560"/>
        <w:jc w:val="left"/>
        <w:rPr>
          <w:rFonts w:ascii="仿宋" w:hAnsi="仿宋" w:eastAsia="仿宋"/>
          <w:color w:val="auto"/>
          <w:sz w:val="28"/>
          <w:szCs w:val="28"/>
          <w:highlight w:val="none"/>
        </w:rPr>
      </w:pPr>
    </w:p>
    <w:p w14:paraId="160870B0">
      <w:pPr>
        <w:spacing w:before="50"/>
        <w:ind w:firstLine="560"/>
        <w:jc w:val="left"/>
        <w:rPr>
          <w:rFonts w:ascii="仿宋" w:hAnsi="仿宋" w:eastAsia="仿宋"/>
          <w:color w:val="auto"/>
          <w:sz w:val="28"/>
          <w:szCs w:val="28"/>
          <w:highlight w:val="none"/>
        </w:rPr>
      </w:pPr>
    </w:p>
    <w:p w14:paraId="054B78F3">
      <w:pPr>
        <w:spacing w:before="50"/>
        <w:ind w:firstLine="560"/>
        <w:jc w:val="left"/>
        <w:rPr>
          <w:rFonts w:ascii="仿宋" w:hAnsi="仿宋" w:eastAsia="仿宋"/>
          <w:color w:val="auto"/>
          <w:sz w:val="28"/>
          <w:szCs w:val="28"/>
          <w:highlight w:val="none"/>
        </w:rPr>
      </w:pPr>
    </w:p>
    <w:p w14:paraId="04AF21AB">
      <w:pPr>
        <w:spacing w:before="50"/>
        <w:ind w:firstLine="560"/>
        <w:jc w:val="left"/>
        <w:rPr>
          <w:rFonts w:ascii="仿宋" w:hAnsi="仿宋" w:eastAsia="仿宋"/>
          <w:color w:val="auto"/>
          <w:sz w:val="28"/>
          <w:szCs w:val="28"/>
          <w:highlight w:val="none"/>
        </w:rPr>
      </w:pPr>
    </w:p>
    <w:p w14:paraId="52B7B440">
      <w:pPr>
        <w:spacing w:before="50"/>
        <w:ind w:firstLine="560"/>
        <w:jc w:val="left"/>
        <w:rPr>
          <w:rFonts w:ascii="仿宋" w:hAnsi="仿宋" w:eastAsia="仿宋"/>
          <w:color w:val="auto"/>
          <w:sz w:val="28"/>
          <w:szCs w:val="28"/>
          <w:highlight w:val="none"/>
        </w:rPr>
      </w:pPr>
    </w:p>
    <w:p w14:paraId="3F9ADD57">
      <w:pPr>
        <w:spacing w:before="50"/>
        <w:ind w:firstLine="560"/>
        <w:jc w:val="left"/>
        <w:rPr>
          <w:rFonts w:ascii="仿宋" w:hAnsi="仿宋" w:eastAsia="仿宋"/>
          <w:color w:val="auto"/>
          <w:sz w:val="28"/>
          <w:szCs w:val="28"/>
          <w:highlight w:val="none"/>
        </w:rPr>
      </w:pPr>
    </w:p>
    <w:p w14:paraId="4F9E4A60">
      <w:pPr>
        <w:spacing w:before="50"/>
        <w:ind w:firstLine="560"/>
        <w:jc w:val="left"/>
        <w:rPr>
          <w:rFonts w:ascii="仿宋" w:hAnsi="仿宋" w:eastAsia="仿宋"/>
          <w:color w:val="auto"/>
          <w:sz w:val="28"/>
          <w:szCs w:val="28"/>
          <w:highlight w:val="none"/>
        </w:rPr>
      </w:pPr>
    </w:p>
    <w:p w14:paraId="14E40280">
      <w:pPr>
        <w:spacing w:before="50"/>
        <w:ind w:firstLine="560"/>
        <w:jc w:val="left"/>
        <w:rPr>
          <w:rFonts w:ascii="仿宋" w:hAnsi="仿宋" w:eastAsia="仿宋"/>
          <w:color w:val="auto"/>
          <w:sz w:val="28"/>
          <w:szCs w:val="28"/>
          <w:highlight w:val="none"/>
        </w:rPr>
      </w:pPr>
    </w:p>
    <w:p w14:paraId="357B7BA7">
      <w:pPr>
        <w:spacing w:before="50"/>
        <w:ind w:firstLine="560"/>
        <w:jc w:val="left"/>
        <w:rPr>
          <w:rFonts w:ascii="仿宋" w:hAnsi="仿宋" w:eastAsia="仿宋"/>
          <w:color w:val="auto"/>
          <w:sz w:val="28"/>
          <w:szCs w:val="28"/>
          <w:highlight w:val="none"/>
        </w:rPr>
      </w:pPr>
    </w:p>
    <w:p w14:paraId="0630EFFA">
      <w:pPr>
        <w:spacing w:before="50"/>
        <w:ind w:firstLine="560"/>
        <w:jc w:val="left"/>
        <w:rPr>
          <w:rFonts w:ascii="仿宋" w:hAnsi="仿宋" w:eastAsia="仿宋"/>
          <w:color w:val="auto"/>
          <w:sz w:val="28"/>
          <w:szCs w:val="28"/>
          <w:highlight w:val="none"/>
        </w:rPr>
      </w:pPr>
    </w:p>
    <w:p w14:paraId="59A10C1F">
      <w:pPr>
        <w:spacing w:before="50"/>
        <w:ind w:firstLine="560"/>
        <w:jc w:val="left"/>
        <w:rPr>
          <w:rFonts w:ascii="仿宋" w:hAnsi="仿宋" w:eastAsia="仿宋"/>
          <w:color w:val="auto"/>
          <w:sz w:val="28"/>
          <w:szCs w:val="28"/>
          <w:highlight w:val="none"/>
        </w:rPr>
      </w:pPr>
    </w:p>
    <w:p w14:paraId="1F4C23B0">
      <w:pPr>
        <w:spacing w:before="50"/>
        <w:ind w:firstLine="560"/>
        <w:jc w:val="left"/>
        <w:rPr>
          <w:rFonts w:ascii="仿宋" w:hAnsi="仿宋" w:eastAsia="仿宋"/>
          <w:color w:val="auto"/>
          <w:sz w:val="28"/>
          <w:szCs w:val="28"/>
          <w:highlight w:val="none"/>
        </w:rPr>
      </w:pPr>
    </w:p>
    <w:p w14:paraId="120A3729">
      <w:pPr>
        <w:spacing w:before="50"/>
        <w:ind w:firstLine="560"/>
        <w:jc w:val="left"/>
        <w:rPr>
          <w:rFonts w:ascii="仿宋" w:hAnsi="仿宋" w:eastAsia="仿宋"/>
          <w:color w:val="auto"/>
          <w:sz w:val="28"/>
          <w:szCs w:val="28"/>
          <w:highlight w:val="none"/>
        </w:rPr>
      </w:pPr>
    </w:p>
    <w:p w14:paraId="014AE706">
      <w:pPr>
        <w:spacing w:before="50"/>
        <w:ind w:firstLine="560"/>
        <w:jc w:val="left"/>
        <w:rPr>
          <w:rFonts w:ascii="仿宋" w:hAnsi="仿宋" w:eastAsia="仿宋"/>
          <w:color w:val="auto"/>
          <w:sz w:val="28"/>
          <w:szCs w:val="28"/>
          <w:highlight w:val="none"/>
        </w:rPr>
      </w:pPr>
    </w:p>
    <w:p w14:paraId="300A1F80">
      <w:pPr>
        <w:spacing w:before="50"/>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（七）法定代表人身份证明及身份证复印件</w:t>
      </w:r>
    </w:p>
    <w:p w14:paraId="5C3C5659">
      <w:pPr>
        <w:widowControl/>
        <w:jc w:val="left"/>
        <w:rPr>
          <w:rFonts w:ascii="仿宋" w:hAnsi="仿宋" w:eastAsia="仿宋"/>
          <w:color w:val="auto"/>
          <w:sz w:val="28"/>
          <w:szCs w:val="28"/>
          <w:highlight w:val="none"/>
        </w:rPr>
      </w:pPr>
    </w:p>
    <w:p w14:paraId="687F3EAD">
      <w:pPr>
        <w:spacing w:before="50"/>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（八）法定代表人</w:t>
      </w:r>
      <w:r>
        <w:rPr>
          <w:rFonts w:ascii="仿宋" w:hAnsi="仿宋" w:eastAsia="仿宋"/>
          <w:color w:val="auto"/>
          <w:sz w:val="28"/>
          <w:szCs w:val="28"/>
          <w:highlight w:val="none"/>
        </w:rPr>
        <w:t>授权</w:t>
      </w:r>
      <w:r>
        <w:rPr>
          <w:rFonts w:hint="eastAsia" w:ascii="仿宋" w:hAnsi="仿宋" w:eastAsia="仿宋"/>
          <w:color w:val="auto"/>
          <w:sz w:val="28"/>
          <w:szCs w:val="28"/>
          <w:highlight w:val="none"/>
        </w:rPr>
        <w:t>委托</w:t>
      </w:r>
      <w:r>
        <w:rPr>
          <w:rFonts w:ascii="仿宋" w:hAnsi="仿宋" w:eastAsia="仿宋"/>
          <w:color w:val="auto"/>
          <w:sz w:val="28"/>
          <w:szCs w:val="28"/>
          <w:highlight w:val="none"/>
        </w:rPr>
        <w:t>书</w:t>
      </w:r>
      <w:r>
        <w:rPr>
          <w:rFonts w:hint="eastAsia" w:ascii="仿宋" w:hAnsi="仿宋" w:eastAsia="仿宋"/>
          <w:color w:val="auto"/>
          <w:sz w:val="28"/>
          <w:szCs w:val="28"/>
          <w:highlight w:val="none"/>
        </w:rPr>
        <w:t>。（法定代表人参加磋商采购活动的，无需提供）</w:t>
      </w:r>
    </w:p>
    <w:p w14:paraId="3B75A181">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法定代表人授权委托书</w:t>
      </w:r>
    </w:p>
    <w:p w14:paraId="258D229A">
      <w:pPr>
        <w:pStyle w:val="18"/>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本授权书声明：</w:t>
      </w:r>
      <w:r>
        <w:rPr>
          <w:rFonts w:hint="eastAsia" w:ascii="仿宋" w:hAnsi="仿宋" w:eastAsia="仿宋"/>
          <w:color w:val="auto"/>
          <w:sz w:val="28"/>
          <w:szCs w:val="28"/>
          <w:highlight w:val="none"/>
          <w:u w:val="single"/>
        </w:rPr>
        <w:t>______      ____</w:t>
      </w:r>
      <w:r>
        <w:rPr>
          <w:rFonts w:hint="eastAsia" w:ascii="仿宋" w:hAnsi="仿宋" w:eastAsia="仿宋"/>
          <w:color w:val="auto"/>
          <w:sz w:val="28"/>
          <w:szCs w:val="28"/>
          <w:highlight w:val="none"/>
        </w:rPr>
        <w:t>__（供应商名称）授权________________（代理人的姓名）为我方就项目名称：____________项目编号:____________采购活动的合法代理人，以本公司名义全权处理一切与该项目采购有关的事务。</w:t>
      </w:r>
    </w:p>
    <w:p w14:paraId="14777BB7">
      <w:pPr>
        <w:pStyle w:val="18"/>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本授权书于______年____月____日起生效，特此声明。</w:t>
      </w:r>
    </w:p>
    <w:p w14:paraId="5E9695A2">
      <w:pPr>
        <w:pStyle w:val="18"/>
        <w:spacing w:line="500" w:lineRule="exact"/>
        <w:ind w:firstLine="480"/>
        <w:rPr>
          <w:rFonts w:ascii="仿宋" w:hAnsi="仿宋" w:eastAsia="仿宋"/>
          <w:color w:val="auto"/>
          <w:sz w:val="28"/>
          <w:szCs w:val="28"/>
          <w:highlight w:val="none"/>
        </w:rPr>
      </w:pPr>
    </w:p>
    <w:p w14:paraId="5644D6FF">
      <w:pPr>
        <w:pStyle w:val="18"/>
        <w:spacing w:line="500" w:lineRule="exact"/>
        <w:ind w:firstLine="480"/>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p>
    <w:p w14:paraId="677BA571">
      <w:pPr>
        <w:pStyle w:val="18"/>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身份证号码：</w:t>
      </w:r>
    </w:p>
    <w:p w14:paraId="5107E9F6">
      <w:pPr>
        <w:pStyle w:val="18"/>
        <w:spacing w:line="500" w:lineRule="exact"/>
        <w:ind w:firstLine="23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p>
    <w:p w14:paraId="150C65F0">
      <w:pPr>
        <w:pStyle w:val="18"/>
        <w:spacing w:line="500" w:lineRule="exact"/>
        <w:ind w:firstLine="480"/>
        <w:rPr>
          <w:rFonts w:ascii="仿宋" w:hAnsi="仿宋" w:eastAsia="仿宋"/>
          <w:color w:val="auto"/>
          <w:sz w:val="28"/>
          <w:szCs w:val="28"/>
          <w:highlight w:val="none"/>
        </w:rPr>
      </w:pPr>
    </w:p>
    <w:p w14:paraId="7254E1AF">
      <w:pPr>
        <w:pStyle w:val="18"/>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代理人姓名：</w:t>
      </w:r>
    </w:p>
    <w:p w14:paraId="1C5F7DB6">
      <w:pPr>
        <w:pStyle w:val="18"/>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p>
    <w:p w14:paraId="5FBC521A">
      <w:pPr>
        <w:pStyle w:val="18"/>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p>
    <w:p w14:paraId="61678F37">
      <w:pPr>
        <w:pStyle w:val="18"/>
        <w:spacing w:line="500" w:lineRule="exact"/>
        <w:ind w:firstLine="480"/>
        <w:rPr>
          <w:rFonts w:ascii="仿宋" w:hAnsi="仿宋" w:eastAsia="仿宋"/>
          <w:color w:val="auto"/>
          <w:sz w:val="28"/>
          <w:szCs w:val="28"/>
          <w:highlight w:val="none"/>
        </w:rPr>
      </w:pPr>
    </w:p>
    <w:p w14:paraId="6469AE12">
      <w:pPr>
        <w:pStyle w:val="18"/>
        <w:spacing w:line="500" w:lineRule="exact"/>
        <w:ind w:firstLine="1260"/>
        <w:rPr>
          <w:rFonts w:ascii="仿宋" w:hAnsi="仿宋" w:eastAsia="仿宋"/>
          <w:color w:val="auto"/>
          <w:sz w:val="28"/>
          <w:szCs w:val="28"/>
          <w:highlight w:val="none"/>
        </w:rPr>
      </w:pPr>
      <w:r>
        <w:rPr>
          <w:rFonts w:hint="eastAsia" w:ascii="仿宋" w:hAnsi="仿宋" w:eastAsia="仿宋"/>
          <w:color w:val="auto"/>
          <w:sz w:val="28"/>
          <w:szCs w:val="28"/>
          <w:highlight w:val="none"/>
        </w:rPr>
        <w:t>供应商名称（加盖公章）：</w:t>
      </w:r>
    </w:p>
    <w:p w14:paraId="0F1D984A">
      <w:pPr>
        <w:pStyle w:val="18"/>
        <w:spacing w:line="500" w:lineRule="exact"/>
        <w:ind w:firstLine="602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p>
    <w:p w14:paraId="103FA1E5">
      <w:pPr>
        <w:pStyle w:val="18"/>
        <w:spacing w:line="500" w:lineRule="exact"/>
        <w:ind w:firstLine="480"/>
        <w:rPr>
          <w:rFonts w:ascii="仿宋" w:hAnsi="仿宋" w:eastAsia="仿宋"/>
          <w:color w:val="auto"/>
          <w:sz w:val="28"/>
          <w:szCs w:val="28"/>
          <w:highlight w:val="none"/>
        </w:rPr>
      </w:pPr>
      <w:bookmarkStart w:id="54" w:name="_格式3__银行出具的资信证明"/>
      <w:bookmarkEnd w:id="54"/>
      <w:bookmarkStart w:id="55" w:name="_Hlt26955070"/>
      <w:bookmarkEnd w:id="55"/>
      <w:bookmarkStart w:id="56" w:name="_Hlt26671380"/>
      <w:bookmarkEnd w:id="56"/>
    </w:p>
    <w:p w14:paraId="4EF3713E">
      <w:pPr>
        <w:pStyle w:val="19"/>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法定代表人身份证复印件</w:t>
      </w:r>
    </w:p>
    <w:p w14:paraId="4DD076CC">
      <w:pPr>
        <w:pStyle w:val="19"/>
        <w:spacing w:line="500" w:lineRule="exact"/>
        <w:ind w:firstLine="490"/>
        <w:rPr>
          <w:rFonts w:ascii="仿宋" w:hAnsi="仿宋" w:eastAsia="仿宋"/>
          <w:color w:val="auto"/>
          <w:sz w:val="28"/>
          <w:szCs w:val="28"/>
          <w:highlight w:val="none"/>
        </w:rPr>
      </w:pPr>
      <w:r>
        <w:rPr>
          <w:rFonts w:hint="eastAsia" w:ascii="仿宋" w:hAnsi="仿宋" w:eastAsia="仿宋"/>
          <w:color w:val="auto"/>
          <w:sz w:val="28"/>
          <w:szCs w:val="28"/>
          <w:highlight w:val="none"/>
        </w:rPr>
        <w:t>代理人身份证复印件</w:t>
      </w:r>
    </w:p>
    <w:p w14:paraId="5E80489B">
      <w:pPr>
        <w:pStyle w:val="19"/>
        <w:rPr>
          <w:rFonts w:ascii="宋体" w:hAnsi="宋体"/>
          <w:color w:val="auto"/>
          <w:sz w:val="24"/>
          <w:highlight w:val="none"/>
        </w:rPr>
      </w:pPr>
    </w:p>
    <w:p w14:paraId="4A619B93">
      <w:pPr>
        <w:pStyle w:val="19"/>
        <w:rPr>
          <w:rFonts w:ascii="宋体" w:hAnsi="宋体"/>
          <w:color w:val="auto"/>
          <w:sz w:val="24"/>
          <w:highlight w:val="none"/>
        </w:rPr>
      </w:pPr>
    </w:p>
    <w:p w14:paraId="4C4DA63C">
      <w:pPr>
        <w:pStyle w:val="19"/>
        <w:rPr>
          <w:rFonts w:ascii="宋体" w:hAnsi="宋体"/>
          <w:color w:val="auto"/>
          <w:sz w:val="24"/>
          <w:highlight w:val="none"/>
        </w:rPr>
      </w:pPr>
    </w:p>
    <w:p w14:paraId="1B68B2F8">
      <w:pPr>
        <w:pStyle w:val="19"/>
        <w:rPr>
          <w:rFonts w:ascii="宋体" w:hAnsi="宋体"/>
          <w:color w:val="auto"/>
          <w:sz w:val="24"/>
          <w:highlight w:val="none"/>
        </w:rPr>
      </w:pPr>
    </w:p>
    <w:p w14:paraId="190B8456">
      <w:pPr>
        <w:pStyle w:val="19"/>
        <w:rPr>
          <w:rFonts w:ascii="宋体" w:hAnsi="宋体"/>
          <w:color w:val="auto"/>
          <w:sz w:val="24"/>
          <w:highlight w:val="none"/>
        </w:rPr>
      </w:pPr>
    </w:p>
    <w:p w14:paraId="390D87F5">
      <w:pPr>
        <w:pStyle w:val="19"/>
        <w:rPr>
          <w:rFonts w:ascii="宋体" w:hAnsi="宋体"/>
          <w:color w:val="auto"/>
          <w:sz w:val="24"/>
          <w:highlight w:val="none"/>
        </w:rPr>
      </w:pPr>
    </w:p>
    <w:p w14:paraId="3878CB06">
      <w:pPr>
        <w:pStyle w:val="19"/>
        <w:rPr>
          <w:rFonts w:ascii="宋体" w:hAnsi="宋体"/>
          <w:color w:val="auto"/>
          <w:sz w:val="24"/>
          <w:highlight w:val="none"/>
        </w:rPr>
      </w:pPr>
    </w:p>
    <w:p w14:paraId="1E0F9A8E">
      <w:pPr>
        <w:spacing w:before="50"/>
        <w:ind w:firstLine="480"/>
        <w:jc w:val="left"/>
        <w:rPr>
          <w:rFonts w:ascii="仿宋" w:hAnsi="仿宋" w:eastAsia="仿宋"/>
          <w:color w:val="auto"/>
          <w:sz w:val="24"/>
          <w:highlight w:val="none"/>
        </w:rPr>
      </w:pPr>
    </w:p>
    <w:p w14:paraId="7C821FB3">
      <w:pPr>
        <w:spacing w:before="50"/>
        <w:ind w:firstLine="480"/>
        <w:jc w:val="left"/>
        <w:rPr>
          <w:rFonts w:ascii="仿宋" w:hAnsi="仿宋" w:eastAsia="仿宋" w:cs="Arial"/>
          <w:color w:val="auto"/>
          <w:sz w:val="28"/>
          <w:szCs w:val="28"/>
          <w:highlight w:val="none"/>
        </w:rPr>
      </w:pPr>
      <w:r>
        <w:rPr>
          <w:rFonts w:hint="eastAsia" w:ascii="仿宋" w:hAnsi="仿宋" w:eastAsia="仿宋"/>
          <w:bCs/>
          <w:color w:val="auto"/>
          <w:sz w:val="28"/>
          <w:szCs w:val="28"/>
          <w:highlight w:val="none"/>
        </w:rPr>
        <w:t>（九）</w:t>
      </w:r>
      <w:r>
        <w:rPr>
          <w:rFonts w:hint="eastAsia" w:ascii="仿宋" w:hAnsi="仿宋" w:eastAsia="仿宋" w:cs="Arial"/>
          <w:color w:val="auto"/>
          <w:sz w:val="28"/>
          <w:szCs w:val="28"/>
          <w:highlight w:val="none"/>
        </w:rPr>
        <w:t>磋商响应函</w:t>
      </w:r>
    </w:p>
    <w:p w14:paraId="60000782">
      <w:pPr>
        <w:spacing w:before="50"/>
        <w:jc w:val="center"/>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竞争性磋商响应函</w:t>
      </w:r>
    </w:p>
    <w:p w14:paraId="14C58695">
      <w:pPr>
        <w:pStyle w:val="1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致：江苏省如皋高新技术产业开发区管理委员会</w:t>
      </w:r>
    </w:p>
    <w:p w14:paraId="086EF4EE">
      <w:pPr>
        <w:pStyle w:val="18"/>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根据贵方的</w:t>
      </w:r>
      <w:r>
        <w:rPr>
          <w:rFonts w:hint="eastAsia" w:ascii="仿宋" w:hAnsi="仿宋" w:eastAsia="仿宋"/>
          <w:color w:val="auto"/>
          <w:sz w:val="28"/>
          <w:szCs w:val="28"/>
          <w:highlight w:val="none"/>
          <w:u w:val="single"/>
        </w:rPr>
        <w:t>如皋市高新区高层建筑质量安全鉴定和消防安全评估项目</w:t>
      </w:r>
      <w:r>
        <w:rPr>
          <w:rFonts w:hint="eastAsia" w:ascii="仿宋" w:hAnsi="仿宋" w:eastAsia="仿宋"/>
          <w:color w:val="auto"/>
          <w:sz w:val="28"/>
          <w:szCs w:val="28"/>
          <w:highlight w:val="none"/>
        </w:rPr>
        <w:t>（项目编号：JSZC-320682-RGCJ-C2025</w:t>
      </w:r>
      <w:r>
        <w:rPr>
          <w:rFonts w:hint="eastAsia" w:ascii="仿宋" w:hAnsi="仿宋" w:eastAsia="仿宋"/>
          <w:color w:val="auto"/>
          <w:sz w:val="28"/>
          <w:szCs w:val="28"/>
          <w:highlight w:val="none"/>
          <w:lang w:eastAsia="zh-CN"/>
        </w:rPr>
        <w:t>-0026</w:t>
      </w:r>
      <w:r>
        <w:rPr>
          <w:rFonts w:hint="eastAsia" w:ascii="仿宋" w:hAnsi="仿宋" w:eastAsia="仿宋"/>
          <w:color w:val="auto"/>
          <w:sz w:val="28"/>
          <w:szCs w:val="28"/>
          <w:highlight w:val="none"/>
        </w:rPr>
        <w:t>）竞争性磋商文件，正式授权下述签字人_________ (姓名和职务)代表我方______________（供应商的名称），全权处理本次项目磋商采购的有关事宜。</w:t>
      </w:r>
    </w:p>
    <w:p w14:paraId="0D6E72BC">
      <w:pPr>
        <w:pStyle w:val="18"/>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据此函，__________（签字人）兹宣布同意如下：</w:t>
      </w:r>
    </w:p>
    <w:p w14:paraId="274C66F5">
      <w:pPr>
        <w:pStyle w:val="18"/>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1.按磋商文件规定的各项要求，向买方提供所需货物、服务。</w:t>
      </w:r>
    </w:p>
    <w:p w14:paraId="605E9B09">
      <w:pPr>
        <w:pStyle w:val="18"/>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2.我们已详细审核全部磋商文件及其有效补充文件，我们知道必须放弃提出含糊不清或误解问题的权利。</w:t>
      </w:r>
    </w:p>
    <w:p w14:paraId="4A78FEA5">
      <w:pPr>
        <w:pStyle w:val="18"/>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3.我们同意从规定的响应文件接收截止时间起遵循本响应文件，并在规定的磋商有效期期满之前均具有约束力。</w:t>
      </w:r>
    </w:p>
    <w:p w14:paraId="7D9CF346">
      <w:pPr>
        <w:pStyle w:val="18"/>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4.同意向贵方提供贵方可能另外要求的与竞争性磋商活动有关的任何证据或资料，并保证我方已提供和将要提供的文件是真实的、准确的。</w:t>
      </w:r>
    </w:p>
    <w:p w14:paraId="009B8CA1">
      <w:pPr>
        <w:pStyle w:val="18"/>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5.如果我方成交，我方将在法定期限内签订合同，否则将承担相应法律责任。</w:t>
      </w:r>
    </w:p>
    <w:p w14:paraId="74B8AA81">
      <w:pPr>
        <w:pStyle w:val="18"/>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6.我方将根据竞争性磋商文件的规定，严格履行合同的责任和义务，并保证在磋商文件规定的时间完成项目。</w:t>
      </w:r>
    </w:p>
    <w:p w14:paraId="3A72A834">
      <w:pPr>
        <w:pStyle w:val="18"/>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7.遵守竞争性磋商文件中要求的收费项目和标准。</w:t>
      </w:r>
    </w:p>
    <w:p w14:paraId="74D28D10">
      <w:pPr>
        <w:pStyle w:val="18"/>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8.与本次竞争性磋商活动有关的正式通讯地址为：</w:t>
      </w:r>
    </w:p>
    <w:p w14:paraId="4B05512E">
      <w:pPr>
        <w:pStyle w:val="1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地 址：                         邮 编：</w:t>
      </w:r>
    </w:p>
    <w:p w14:paraId="3DA54169">
      <w:pPr>
        <w:pStyle w:val="1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电 话：                         传 真：</w:t>
      </w:r>
    </w:p>
    <w:p w14:paraId="19B6FC32">
      <w:pPr>
        <w:pStyle w:val="1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p>
    <w:p w14:paraId="469D2549">
      <w:pPr>
        <w:pStyle w:val="1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p>
    <w:p w14:paraId="11184E1E">
      <w:pPr>
        <w:pStyle w:val="1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日 期：________年____月____日</w:t>
      </w:r>
    </w:p>
    <w:p w14:paraId="3283CC49">
      <w:pPr>
        <w:spacing w:before="50"/>
        <w:ind w:firstLine="480"/>
        <w:jc w:val="left"/>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p>
    <w:p w14:paraId="5A5549CF">
      <w:pPr>
        <w:spacing w:before="50" w:after="120" w:afterLines="50"/>
        <w:ind w:firstLine="480"/>
        <w:jc w:val="left"/>
        <w:rPr>
          <w:rFonts w:ascii="仿宋" w:hAnsi="仿宋" w:eastAsia="仿宋" w:cs="Arial"/>
          <w:color w:val="auto"/>
          <w:sz w:val="28"/>
          <w:szCs w:val="28"/>
          <w:highlight w:val="none"/>
        </w:rPr>
      </w:pPr>
      <w:r>
        <w:rPr>
          <w:rFonts w:hint="eastAsia" w:ascii="仿宋" w:hAnsi="仿宋" w:eastAsia="仿宋"/>
          <w:bCs/>
          <w:color w:val="auto"/>
          <w:sz w:val="28"/>
          <w:szCs w:val="28"/>
          <w:highlight w:val="none"/>
        </w:rPr>
        <w:t>（十）</w:t>
      </w:r>
      <w:r>
        <w:rPr>
          <w:rFonts w:hint="eastAsia" w:ascii="仿宋" w:hAnsi="仿宋" w:eastAsia="仿宋" w:cs="Arial"/>
          <w:color w:val="auto"/>
          <w:sz w:val="28"/>
          <w:szCs w:val="28"/>
          <w:highlight w:val="none"/>
        </w:rPr>
        <w:t>联合体协议原件</w:t>
      </w:r>
    </w:p>
    <w:p w14:paraId="1E779FE9">
      <w:pPr>
        <w:spacing w:line="600" w:lineRule="exact"/>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联合体协议</w:t>
      </w:r>
    </w:p>
    <w:p w14:paraId="2308688F">
      <w:pPr>
        <w:spacing w:line="6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hint="eastAsia" w:ascii="仿宋" w:hAnsi="仿宋" w:eastAsia="仿宋"/>
          <w:i/>
          <w:color w:val="auto"/>
          <w:sz w:val="28"/>
          <w:szCs w:val="28"/>
          <w:highlight w:val="none"/>
        </w:rPr>
        <w:t>联合体中各供应商全称</w:t>
      </w:r>
      <w:r>
        <w:rPr>
          <w:rFonts w:hint="eastAsia" w:ascii="仿宋" w:hAnsi="仿宋" w:eastAsia="仿宋"/>
          <w:color w:val="auto"/>
          <w:sz w:val="28"/>
          <w:szCs w:val="28"/>
          <w:highlight w:val="none"/>
        </w:rPr>
        <w:t>）在此达成以下协议：</w:t>
      </w:r>
    </w:p>
    <w:p w14:paraId="4F4851AE">
      <w:pPr>
        <w:spacing w:line="600" w:lineRule="exact"/>
        <w:ind w:firstLine="645"/>
        <w:rPr>
          <w:rFonts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.我们自愿组成联合体，参加</w:t>
      </w:r>
      <w:r>
        <w:rPr>
          <w:rFonts w:hint="eastAsia" w:ascii="仿宋" w:hAnsi="仿宋" w:eastAsia="仿宋"/>
          <w:color w:val="auto"/>
          <w:sz w:val="28"/>
          <w:szCs w:val="28"/>
          <w:highlight w:val="none"/>
          <w:u w:val="single"/>
        </w:rPr>
        <w:t>如皋市高新区高层建筑质量安全鉴定和消防安全评估项目</w:t>
      </w:r>
      <w:r>
        <w:rPr>
          <w:rFonts w:hint="eastAsia" w:ascii="仿宋" w:hAnsi="仿宋" w:eastAsia="仿宋"/>
          <w:color w:val="auto"/>
          <w:sz w:val="28"/>
          <w:szCs w:val="28"/>
          <w:highlight w:val="none"/>
        </w:rPr>
        <w:t>项目（项目编号：JSZC-320682-RGCJ-C2025-</w:t>
      </w:r>
      <w:r>
        <w:rPr>
          <w:rFonts w:hint="eastAsia" w:ascii="仿宋" w:hAnsi="仿宋" w:eastAsia="仿宋"/>
          <w:color w:val="auto"/>
          <w:sz w:val="28"/>
          <w:szCs w:val="28"/>
          <w:highlight w:val="none"/>
          <w:lang w:eastAsia="zh-CN"/>
        </w:rPr>
        <w:t>0026</w:t>
      </w:r>
      <w:r>
        <w:rPr>
          <w:rFonts w:hint="eastAsia" w:ascii="仿宋" w:hAnsi="仿宋" w:eastAsia="仿宋"/>
          <w:color w:val="auto"/>
          <w:sz w:val="28"/>
          <w:szCs w:val="28"/>
          <w:highlight w:val="none"/>
        </w:rPr>
        <w:t>）的政府采购活动。</w:t>
      </w:r>
    </w:p>
    <w:p w14:paraId="6BA66867">
      <w:pPr>
        <w:spacing w:line="600" w:lineRule="exact"/>
        <w:ind w:firstLine="645"/>
        <w:rPr>
          <w:rFonts w:ascii="仿宋" w:hAnsi="仿宋" w:eastAsia="仿宋"/>
          <w:color w:val="auto"/>
          <w:sz w:val="28"/>
          <w:szCs w:val="28"/>
          <w:highlight w:val="non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.若我们联合成交，</w:t>
      </w:r>
      <w:r>
        <w:rPr>
          <w:rFonts w:hint="eastAsia" w:ascii="仿宋" w:hAnsi="仿宋" w:eastAsia="仿宋"/>
          <w:color w:val="auto"/>
          <w:sz w:val="28"/>
          <w:szCs w:val="28"/>
          <w:highlight w:val="none"/>
          <w:u w:val="single"/>
        </w:rPr>
        <w:t>（</w:t>
      </w:r>
      <w:r>
        <w:rPr>
          <w:rFonts w:hint="eastAsia" w:ascii="仿宋" w:hAnsi="仿宋" w:eastAsia="仿宋"/>
          <w:i/>
          <w:color w:val="auto"/>
          <w:sz w:val="28"/>
          <w:szCs w:val="28"/>
          <w:highlight w:val="none"/>
          <w:u w:val="single"/>
        </w:rPr>
        <w:t>供应商</w:t>
      </w:r>
      <w:r>
        <w:rPr>
          <w:rFonts w:ascii="仿宋" w:hAnsi="仿宋" w:eastAsia="仿宋"/>
          <w:i/>
          <w:color w:val="auto"/>
          <w:sz w:val="28"/>
          <w:szCs w:val="28"/>
          <w:highlight w:val="none"/>
          <w:u w:val="single"/>
        </w:rPr>
        <w:t>1</w:t>
      </w:r>
      <w:r>
        <w:rPr>
          <w:rFonts w:hint="eastAsia" w:ascii="仿宋" w:hAnsi="仿宋" w:eastAsia="仿宋"/>
          <w:i/>
          <w:color w:val="auto"/>
          <w:sz w:val="28"/>
          <w:szCs w:val="28"/>
          <w:highlight w:val="none"/>
          <w:u w:val="single"/>
        </w:rPr>
        <w:t>全称</w:t>
      </w:r>
      <w:r>
        <w:rPr>
          <w:rFonts w:hint="eastAsia" w:ascii="仿宋" w:hAnsi="仿宋" w:eastAsia="仿宋"/>
          <w:color w:val="auto"/>
          <w:sz w:val="28"/>
          <w:szCs w:val="28"/>
          <w:highlight w:val="none"/>
          <w:u w:val="single"/>
        </w:rPr>
        <w:t>）</w:t>
      </w:r>
      <w:r>
        <w:rPr>
          <w:rFonts w:hint="eastAsia" w:ascii="仿宋" w:hAnsi="仿宋" w:eastAsia="仿宋"/>
          <w:color w:val="auto"/>
          <w:sz w:val="28"/>
          <w:szCs w:val="28"/>
          <w:highlight w:val="none"/>
        </w:rPr>
        <w:t>实施项目中</w:t>
      </w:r>
      <w:r>
        <w:rPr>
          <w:rFonts w:hint="eastAsia" w:ascii="仿宋" w:hAnsi="仿宋" w:eastAsia="仿宋"/>
          <w:color w:val="auto"/>
          <w:sz w:val="28"/>
          <w:szCs w:val="28"/>
          <w:highlight w:val="none"/>
          <w:u w:val="single"/>
        </w:rPr>
        <w:t>（工作内容）</w:t>
      </w:r>
      <w:r>
        <w:rPr>
          <w:rFonts w:hint="eastAsia" w:ascii="仿宋" w:hAnsi="仿宋" w:eastAsia="仿宋"/>
          <w:color w:val="auto"/>
          <w:sz w:val="28"/>
          <w:szCs w:val="28"/>
          <w:highlight w:val="none"/>
        </w:rPr>
        <w:t>部分工作，并承担相应的责任。</w:t>
      </w:r>
      <w:r>
        <w:rPr>
          <w:rFonts w:hint="eastAsia" w:ascii="仿宋" w:hAnsi="仿宋" w:eastAsia="仿宋"/>
          <w:color w:val="auto"/>
          <w:sz w:val="28"/>
          <w:szCs w:val="28"/>
          <w:highlight w:val="none"/>
          <w:u w:val="single"/>
        </w:rPr>
        <w:t>（</w:t>
      </w:r>
      <w:r>
        <w:rPr>
          <w:rFonts w:hint="eastAsia" w:ascii="仿宋" w:hAnsi="仿宋" w:eastAsia="仿宋"/>
          <w:i/>
          <w:color w:val="auto"/>
          <w:sz w:val="28"/>
          <w:szCs w:val="28"/>
          <w:highlight w:val="none"/>
          <w:u w:val="single"/>
        </w:rPr>
        <w:t>供应商</w:t>
      </w:r>
      <w:r>
        <w:rPr>
          <w:rFonts w:ascii="仿宋" w:hAnsi="仿宋" w:eastAsia="仿宋"/>
          <w:i/>
          <w:color w:val="auto"/>
          <w:sz w:val="28"/>
          <w:szCs w:val="28"/>
          <w:highlight w:val="none"/>
          <w:u w:val="single"/>
        </w:rPr>
        <w:t>2</w:t>
      </w:r>
      <w:r>
        <w:rPr>
          <w:rFonts w:hint="eastAsia" w:ascii="仿宋" w:hAnsi="仿宋" w:eastAsia="仿宋"/>
          <w:i/>
          <w:color w:val="auto"/>
          <w:sz w:val="28"/>
          <w:szCs w:val="28"/>
          <w:highlight w:val="none"/>
          <w:u w:val="single"/>
        </w:rPr>
        <w:t>全称</w:t>
      </w:r>
      <w:r>
        <w:rPr>
          <w:rFonts w:hint="eastAsia" w:ascii="仿宋" w:hAnsi="仿宋" w:eastAsia="仿宋"/>
          <w:color w:val="auto"/>
          <w:sz w:val="28"/>
          <w:szCs w:val="28"/>
          <w:highlight w:val="none"/>
          <w:u w:val="single"/>
        </w:rPr>
        <w:t>）</w:t>
      </w:r>
      <w:r>
        <w:rPr>
          <w:rFonts w:hint="eastAsia" w:ascii="仿宋" w:hAnsi="仿宋" w:eastAsia="仿宋"/>
          <w:color w:val="auto"/>
          <w:sz w:val="28"/>
          <w:szCs w:val="28"/>
          <w:highlight w:val="none"/>
        </w:rPr>
        <w:t>实施项目中（</w:t>
      </w:r>
      <w:r>
        <w:rPr>
          <w:rFonts w:hint="eastAsia" w:ascii="仿宋" w:hAnsi="仿宋" w:eastAsia="仿宋"/>
          <w:i/>
          <w:color w:val="auto"/>
          <w:sz w:val="28"/>
          <w:szCs w:val="28"/>
          <w:highlight w:val="none"/>
          <w:u w:val="single"/>
        </w:rPr>
        <w:t>工作内容</w:t>
      </w:r>
      <w:r>
        <w:rPr>
          <w:rFonts w:hint="eastAsia" w:ascii="仿宋" w:hAnsi="仿宋" w:eastAsia="仿宋"/>
          <w:color w:val="auto"/>
          <w:sz w:val="28"/>
          <w:szCs w:val="28"/>
          <w:highlight w:val="none"/>
        </w:rPr>
        <w:t>）部分工作，并承担相应的责任……。（注：联合体中各供应商都应明示所承担的工作和相应的责任）。</w:t>
      </w:r>
    </w:p>
    <w:p w14:paraId="2137B10A">
      <w:pPr>
        <w:spacing w:line="600" w:lineRule="exact"/>
        <w:ind w:firstLine="645"/>
        <w:rPr>
          <w:rFonts w:ascii="仿宋" w:hAnsi="仿宋" w:eastAsia="仿宋"/>
          <w:color w:val="auto"/>
          <w:sz w:val="28"/>
          <w:szCs w:val="28"/>
          <w:highlight w:val="none"/>
        </w:rPr>
      </w:pPr>
      <w:r>
        <w:rPr>
          <w:rFonts w:ascii="仿宋" w:hAnsi="仿宋" w:eastAsia="仿宋"/>
          <w:color w:val="auto"/>
          <w:sz w:val="28"/>
          <w:szCs w:val="28"/>
          <w:highlight w:val="none"/>
        </w:rPr>
        <w:t>3</w:t>
      </w:r>
      <w:r>
        <w:rPr>
          <w:rFonts w:hint="eastAsia" w:ascii="仿宋" w:hAnsi="仿宋" w:eastAsia="仿宋"/>
          <w:color w:val="auto"/>
          <w:sz w:val="28"/>
          <w:szCs w:val="28"/>
          <w:highlight w:val="none"/>
        </w:rPr>
        <w:t>.其中</w:t>
      </w:r>
      <w:r>
        <w:rPr>
          <w:rFonts w:hint="eastAsia" w:ascii="仿宋" w:hAnsi="仿宋" w:eastAsia="仿宋"/>
          <w:color w:val="auto"/>
          <w:sz w:val="28"/>
          <w:szCs w:val="28"/>
          <w:highlight w:val="none"/>
          <w:u w:val="single"/>
        </w:rPr>
        <w:t>（</w:t>
      </w:r>
      <w:r>
        <w:rPr>
          <w:rFonts w:hint="eastAsia" w:ascii="仿宋" w:hAnsi="仿宋" w:eastAsia="仿宋"/>
          <w:i/>
          <w:color w:val="auto"/>
          <w:sz w:val="28"/>
          <w:szCs w:val="28"/>
          <w:highlight w:val="none"/>
          <w:u w:val="single"/>
        </w:rPr>
        <w:t>小型、微型企业/残疾人福利性单位/监狱企业全称</w:t>
      </w:r>
      <w:r>
        <w:rPr>
          <w:rFonts w:hint="eastAsia" w:ascii="仿宋" w:hAnsi="仿宋" w:eastAsia="仿宋"/>
          <w:color w:val="auto"/>
          <w:sz w:val="28"/>
          <w:szCs w:val="28"/>
          <w:highlight w:val="none"/>
          <w:u w:val="single"/>
        </w:rPr>
        <w:t>）</w:t>
      </w:r>
      <w:r>
        <w:rPr>
          <w:rFonts w:hint="eastAsia" w:ascii="仿宋" w:hAnsi="仿宋" w:eastAsia="仿宋"/>
          <w:color w:val="auto"/>
          <w:sz w:val="28"/>
          <w:szCs w:val="28"/>
          <w:highlight w:val="none"/>
        </w:rPr>
        <w:t>为（</w:t>
      </w:r>
      <w:r>
        <w:rPr>
          <w:rFonts w:hint="eastAsia" w:ascii="仿宋" w:hAnsi="仿宋" w:eastAsia="仿宋"/>
          <w:i/>
          <w:color w:val="auto"/>
          <w:sz w:val="28"/>
          <w:szCs w:val="28"/>
          <w:highlight w:val="none"/>
        </w:rPr>
        <w:t>小型、微型企业/残疾人福利性单位/监狱企业</w:t>
      </w:r>
      <w:r>
        <w:rPr>
          <w:rFonts w:hint="eastAsia" w:ascii="仿宋" w:hAnsi="仿宋" w:eastAsia="仿宋"/>
          <w:color w:val="auto"/>
          <w:sz w:val="28"/>
          <w:szCs w:val="28"/>
          <w:highlight w:val="none"/>
        </w:rPr>
        <w:t>）企业，且我们约定该公司/单位所承担的合同金额将占本项目合同总金额的</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w:t>
      </w:r>
    </w:p>
    <w:p w14:paraId="1728CE94">
      <w:pPr>
        <w:spacing w:line="600" w:lineRule="exact"/>
        <w:ind w:firstLine="645"/>
        <w:rPr>
          <w:rFonts w:ascii="仿宋" w:hAnsi="仿宋" w:eastAsia="仿宋"/>
          <w:color w:val="auto"/>
          <w:sz w:val="28"/>
          <w:szCs w:val="28"/>
          <w:highlight w:val="none"/>
        </w:rPr>
      </w:pPr>
    </w:p>
    <w:p w14:paraId="0674581E">
      <w:pPr>
        <w:spacing w:line="600" w:lineRule="exact"/>
        <w:ind w:right="560" w:firstLine="2520" w:firstLineChars="900"/>
        <w:rPr>
          <w:rFonts w:ascii="仿宋" w:hAnsi="仿宋" w:eastAsia="仿宋"/>
          <w:color w:val="auto"/>
          <w:sz w:val="28"/>
          <w:szCs w:val="28"/>
          <w:highlight w:val="none"/>
        </w:rPr>
      </w:pPr>
      <w:r>
        <w:rPr>
          <w:rFonts w:hint="eastAsia" w:ascii="仿宋" w:hAnsi="仿宋" w:eastAsia="仿宋"/>
          <w:color w:val="auto"/>
          <w:sz w:val="28"/>
          <w:szCs w:val="28"/>
          <w:highlight w:val="none"/>
        </w:rPr>
        <w:t>供应商全称（公章）：</w:t>
      </w:r>
    </w:p>
    <w:p w14:paraId="7F949853">
      <w:pPr>
        <w:spacing w:line="600" w:lineRule="exact"/>
        <w:ind w:right="560" w:firstLine="2520" w:firstLineChars="900"/>
        <w:rPr>
          <w:rFonts w:ascii="仿宋" w:hAnsi="仿宋" w:eastAsia="仿宋"/>
          <w:color w:val="auto"/>
          <w:sz w:val="28"/>
          <w:szCs w:val="28"/>
          <w:highlight w:val="none"/>
        </w:rPr>
      </w:pPr>
    </w:p>
    <w:p w14:paraId="5EE7FD86">
      <w:pPr>
        <w:spacing w:line="600" w:lineRule="exact"/>
        <w:ind w:right="560" w:firstLine="2520" w:firstLineChars="900"/>
        <w:rPr>
          <w:rFonts w:ascii="仿宋" w:hAnsi="仿宋" w:eastAsia="仿宋"/>
          <w:color w:val="auto"/>
          <w:sz w:val="28"/>
          <w:szCs w:val="28"/>
          <w:highlight w:val="none"/>
        </w:rPr>
      </w:pPr>
    </w:p>
    <w:p w14:paraId="04AC4A68">
      <w:pPr>
        <w:spacing w:line="600" w:lineRule="exact"/>
        <w:ind w:right="560" w:firstLine="2520" w:firstLineChars="900"/>
        <w:rPr>
          <w:rFonts w:ascii="仿宋" w:hAnsi="仿宋" w:eastAsia="仿宋"/>
          <w:color w:val="auto"/>
          <w:sz w:val="28"/>
          <w:szCs w:val="28"/>
          <w:highlight w:val="none"/>
        </w:rPr>
      </w:pPr>
    </w:p>
    <w:p w14:paraId="3A4A9443">
      <w:pPr>
        <w:spacing w:before="50" w:after="120" w:afterLines="50" w:line="600" w:lineRule="exact"/>
        <w:ind w:firstLine="480"/>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日期：</w:t>
      </w:r>
    </w:p>
    <w:p w14:paraId="4BE4E6A5">
      <w:pPr>
        <w:spacing w:before="50"/>
        <w:ind w:firstLine="480"/>
        <w:jc w:val="left"/>
        <w:rPr>
          <w:rFonts w:ascii="仿宋" w:hAnsi="仿宋" w:eastAsia="仿宋"/>
          <w:bCs/>
          <w:color w:val="auto"/>
          <w:sz w:val="28"/>
          <w:szCs w:val="28"/>
          <w:highlight w:val="none"/>
        </w:rPr>
      </w:pPr>
      <w:r>
        <w:rPr>
          <w:rFonts w:ascii="仿宋" w:hAnsi="仿宋" w:eastAsia="仿宋"/>
          <w:bCs/>
          <w:color w:val="auto"/>
          <w:sz w:val="28"/>
          <w:szCs w:val="28"/>
          <w:highlight w:val="none"/>
        </w:rPr>
        <w:br w:type="page"/>
      </w:r>
    </w:p>
    <w:p w14:paraId="5FAC347A">
      <w:pPr>
        <w:spacing w:before="50"/>
        <w:ind w:firstLine="480"/>
        <w:jc w:val="left"/>
        <w:rPr>
          <w:rFonts w:ascii="仿宋" w:hAnsi="仿宋" w:eastAsia="仿宋"/>
          <w:color w:val="auto"/>
          <w:sz w:val="28"/>
          <w:szCs w:val="28"/>
          <w:highlight w:val="none"/>
        </w:rPr>
      </w:pPr>
      <w:r>
        <w:rPr>
          <w:rFonts w:hint="eastAsia" w:ascii="仿宋" w:hAnsi="仿宋" w:eastAsia="仿宋"/>
          <w:color w:val="auto"/>
          <w:sz w:val="28"/>
          <w:szCs w:val="28"/>
          <w:highlight w:val="none"/>
        </w:rPr>
        <w:t>（十一）其他资格证明材料</w:t>
      </w:r>
    </w:p>
    <w:p w14:paraId="6570C62B">
      <w:pPr>
        <w:spacing w:before="50"/>
        <w:jc w:val="left"/>
        <w:rPr>
          <w:rFonts w:ascii="仿宋" w:hAnsi="仿宋" w:eastAsia="仿宋"/>
          <w:color w:val="auto"/>
          <w:sz w:val="28"/>
          <w:szCs w:val="28"/>
          <w:highlight w:val="none"/>
        </w:rPr>
      </w:pPr>
    </w:p>
    <w:p w14:paraId="7CDF19B6">
      <w:pPr>
        <w:spacing w:before="50"/>
        <w:jc w:val="left"/>
        <w:rPr>
          <w:rFonts w:ascii="仿宋" w:hAnsi="仿宋" w:eastAsia="仿宋"/>
          <w:color w:val="auto"/>
          <w:sz w:val="28"/>
          <w:szCs w:val="28"/>
          <w:highlight w:val="none"/>
        </w:rPr>
      </w:pPr>
    </w:p>
    <w:p w14:paraId="2B90E76B">
      <w:pPr>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注意：以上资格证明文件中要求加盖公章的，必须加盖公章；如供应商组成联合体参加磋商，则联合体各方均须加盖公章，否则视为无效磋商响应文件。</w:t>
      </w:r>
    </w:p>
    <w:p w14:paraId="4A7C0EFC">
      <w:pPr>
        <w:ind w:firstLine="560"/>
        <w:rPr>
          <w:rFonts w:ascii="黑体" w:hAnsi="黑体" w:eastAsia="黑体"/>
          <w:bCs/>
          <w:color w:val="auto"/>
          <w:sz w:val="28"/>
          <w:szCs w:val="28"/>
          <w:highlight w:val="none"/>
        </w:rPr>
      </w:pPr>
      <w:r>
        <w:rPr>
          <w:rFonts w:ascii="黑体" w:hAnsi="黑体" w:eastAsia="黑体"/>
          <w:color w:val="auto"/>
          <w:sz w:val="28"/>
          <w:szCs w:val="28"/>
          <w:highlight w:val="none"/>
        </w:rPr>
        <w:br w:type="page" w:clear="all"/>
      </w:r>
      <w:r>
        <w:rPr>
          <w:rFonts w:hint="eastAsia" w:ascii="黑体" w:hAnsi="黑体" w:eastAsia="黑体"/>
          <w:color w:val="auto"/>
          <w:sz w:val="28"/>
          <w:szCs w:val="28"/>
          <w:highlight w:val="none"/>
        </w:rPr>
        <w:t>二、商务技术文件</w:t>
      </w:r>
    </w:p>
    <w:p w14:paraId="27DB6AC3">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（一）评分索引表</w:t>
      </w:r>
    </w:p>
    <w:p w14:paraId="6A46A85A">
      <w:pPr>
        <w:ind w:firstLine="641"/>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评分索引表</w:t>
      </w:r>
    </w:p>
    <w:p w14:paraId="67134E78">
      <w:pPr>
        <w:ind w:firstLine="641"/>
        <w:jc w:val="center"/>
        <w:rPr>
          <w:rFonts w:ascii="方正小标宋简体" w:hAnsi="宋体" w:eastAsia="方正小标宋简体"/>
          <w:color w:val="auto"/>
          <w:sz w:val="32"/>
          <w:szCs w:val="32"/>
          <w:highlight w:val="none"/>
        </w:rPr>
      </w:pPr>
    </w:p>
    <w:tbl>
      <w:tblPr>
        <w:tblStyle w:val="11"/>
        <w:tblW w:w="1017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7"/>
        <w:gridCol w:w="1201"/>
        <w:gridCol w:w="900"/>
        <w:gridCol w:w="5339"/>
        <w:gridCol w:w="943"/>
        <w:gridCol w:w="943"/>
      </w:tblGrid>
      <w:tr w14:paraId="04E1EE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847" w:type="dxa"/>
            <w:vAlign w:val="center"/>
          </w:tcPr>
          <w:p w14:paraId="606B0406">
            <w:pPr>
              <w:adjustRightInd w:val="0"/>
              <w:snapToGrid w:val="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序号</w:t>
            </w:r>
          </w:p>
        </w:tc>
        <w:tc>
          <w:tcPr>
            <w:tcW w:w="1201" w:type="dxa"/>
            <w:vAlign w:val="center"/>
          </w:tcPr>
          <w:p w14:paraId="78328EB6">
            <w:pPr>
              <w:adjustRightInd w:val="0"/>
              <w:snapToGrid w:val="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900" w:type="dxa"/>
            <w:vAlign w:val="center"/>
          </w:tcPr>
          <w:p w14:paraId="6EA1F530">
            <w:pPr>
              <w:adjustRightInd w:val="0"/>
              <w:snapToGrid w:val="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分值</w:t>
            </w:r>
          </w:p>
        </w:tc>
        <w:tc>
          <w:tcPr>
            <w:tcW w:w="5339" w:type="dxa"/>
            <w:vAlign w:val="center"/>
          </w:tcPr>
          <w:p w14:paraId="23BAACE7">
            <w:pPr>
              <w:adjustRightInd w:val="0"/>
              <w:snapToGrid w:val="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评审要求或标准</w:t>
            </w:r>
          </w:p>
        </w:tc>
        <w:tc>
          <w:tcPr>
            <w:tcW w:w="943" w:type="dxa"/>
            <w:vAlign w:val="center"/>
          </w:tcPr>
          <w:p w14:paraId="5D96CB33">
            <w:pPr>
              <w:widowControl/>
              <w:jc w:val="center"/>
              <w:rPr>
                <w:rFonts w:ascii="仿宋" w:hAnsi="仿宋" w:eastAsia="仿宋" w:cs="仿宋"/>
                <w:b/>
                <w:bCs/>
                <w:color w:val="auto"/>
                <w:sz w:val="24"/>
                <w:highlight w:val="none"/>
              </w:rPr>
            </w:pPr>
            <w:r>
              <w:rPr>
                <w:rFonts w:hint="eastAsia" w:ascii="仿宋" w:hAnsi="仿宋" w:eastAsia="仿宋"/>
                <w:color w:val="auto"/>
                <w:sz w:val="24"/>
                <w:highlight w:val="none"/>
              </w:rPr>
              <w:t>供应商提供的材料名称</w:t>
            </w:r>
          </w:p>
        </w:tc>
        <w:tc>
          <w:tcPr>
            <w:tcW w:w="943" w:type="dxa"/>
          </w:tcPr>
          <w:p w14:paraId="2097D3B0">
            <w:pPr>
              <w:widowControl/>
              <w:jc w:val="center"/>
              <w:rPr>
                <w:rFonts w:ascii="仿宋" w:hAnsi="仿宋" w:eastAsia="仿宋" w:cs="仿宋"/>
                <w:b/>
                <w:bCs/>
                <w:color w:val="auto"/>
                <w:sz w:val="24"/>
                <w:highlight w:val="none"/>
              </w:rPr>
            </w:pPr>
            <w:r>
              <w:rPr>
                <w:rFonts w:hint="eastAsia" w:ascii="仿宋" w:hAnsi="仿宋" w:eastAsia="仿宋"/>
                <w:color w:val="auto"/>
                <w:sz w:val="24"/>
                <w:highlight w:val="none"/>
              </w:rPr>
              <w:t>页码</w:t>
            </w:r>
          </w:p>
        </w:tc>
      </w:tr>
      <w:tr w14:paraId="583CD8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847" w:type="dxa"/>
            <w:vAlign w:val="center"/>
          </w:tcPr>
          <w:p w14:paraId="1628EFB9">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1201" w:type="dxa"/>
            <w:vAlign w:val="center"/>
          </w:tcPr>
          <w:p w14:paraId="68A842A9">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服务方案</w:t>
            </w:r>
          </w:p>
        </w:tc>
        <w:tc>
          <w:tcPr>
            <w:tcW w:w="900" w:type="dxa"/>
            <w:vAlign w:val="center"/>
          </w:tcPr>
          <w:p w14:paraId="34452FF1">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20</w:t>
            </w:r>
          </w:p>
        </w:tc>
        <w:tc>
          <w:tcPr>
            <w:tcW w:w="5339" w:type="dxa"/>
            <w:vAlign w:val="center"/>
          </w:tcPr>
          <w:p w14:paraId="3ECF31F8">
            <w:pPr>
              <w:adjustRightInd w:val="0"/>
              <w:snapToGrid w:val="0"/>
              <w:spacing w:line="280" w:lineRule="exact"/>
              <w:rPr>
                <w:rFonts w:ascii="仿宋" w:hAnsi="仿宋" w:eastAsia="仿宋" w:cs="仿宋"/>
                <w:color w:val="auto"/>
                <w:spacing w:val="-6"/>
                <w:sz w:val="24"/>
                <w:highlight w:val="none"/>
                <w:lang w:val="zh-CN" w:bidi="zh-CN"/>
              </w:rPr>
            </w:pPr>
            <w:r>
              <w:rPr>
                <w:rFonts w:hint="eastAsia" w:ascii="仿宋" w:hAnsi="仿宋" w:eastAsia="仿宋" w:cs="仿宋"/>
                <w:color w:val="auto"/>
                <w:spacing w:val="-6"/>
                <w:sz w:val="24"/>
                <w:highlight w:val="none"/>
                <w:lang w:val="zh-CN" w:bidi="zh-CN"/>
              </w:rPr>
              <w:t>对项目概况了解深入，编写服务方案：</w:t>
            </w:r>
          </w:p>
          <w:p w14:paraId="20FB4263">
            <w:pPr>
              <w:adjustRightInd w:val="0"/>
              <w:snapToGrid w:val="0"/>
              <w:spacing w:line="280" w:lineRule="exact"/>
              <w:rPr>
                <w:rFonts w:ascii="仿宋" w:hAnsi="仿宋" w:eastAsia="仿宋" w:cs="仿宋"/>
                <w:color w:val="auto"/>
                <w:spacing w:val="-6"/>
                <w:sz w:val="24"/>
                <w:highlight w:val="none"/>
                <w:lang w:bidi="zh-CN"/>
              </w:rPr>
            </w:pPr>
            <w:r>
              <w:rPr>
                <w:rFonts w:hint="eastAsia" w:ascii="仿宋" w:hAnsi="仿宋" w:eastAsia="仿宋" w:cs="仿宋"/>
                <w:color w:val="auto"/>
                <w:spacing w:val="-6"/>
                <w:sz w:val="24"/>
                <w:highlight w:val="none"/>
                <w:lang w:bidi="zh-CN"/>
              </w:rPr>
              <w:t>1.配备方案包含但不限于（1）本项目实施的具体方法与流程；（2）各环节的注意事项；（3）组织管理体系；（4）针对本项目鉴定过程的重难点分析及应对措施。</w:t>
            </w:r>
          </w:p>
          <w:p w14:paraId="4ED58EFB">
            <w:pPr>
              <w:adjustRightInd w:val="0"/>
              <w:snapToGrid w:val="0"/>
              <w:spacing w:line="280" w:lineRule="exact"/>
              <w:rPr>
                <w:rFonts w:ascii="仿宋" w:hAnsi="仿宋" w:eastAsia="仿宋" w:cs="仿宋"/>
                <w:color w:val="auto"/>
                <w:spacing w:val="-6"/>
                <w:sz w:val="24"/>
                <w:highlight w:val="none"/>
                <w:lang w:bidi="zh-CN"/>
              </w:rPr>
            </w:pPr>
            <w:r>
              <w:rPr>
                <w:rFonts w:hint="eastAsia" w:ascii="仿宋" w:hAnsi="仿宋" w:eastAsia="仿宋" w:cs="仿宋"/>
                <w:color w:val="auto"/>
                <w:spacing w:val="-6"/>
                <w:sz w:val="24"/>
                <w:highlight w:val="none"/>
                <w:lang w:bidi="zh-CN"/>
              </w:rPr>
              <w:t>2.质量保证措施内容包含但不限于：（1）质量管理目标；（2）质量管理体系；（3）质量控制方案；（4）服务质量保证措施。</w:t>
            </w:r>
          </w:p>
          <w:p w14:paraId="031E2DBD">
            <w:pPr>
              <w:adjustRightInd w:val="0"/>
              <w:snapToGrid w:val="0"/>
              <w:spacing w:line="280" w:lineRule="exact"/>
              <w:rPr>
                <w:rFonts w:ascii="仿宋" w:hAnsi="仿宋" w:eastAsia="仿宋" w:cs="仿宋"/>
                <w:color w:val="auto"/>
                <w:spacing w:val="-6"/>
                <w:sz w:val="24"/>
                <w:highlight w:val="none"/>
                <w:lang w:bidi="zh-CN"/>
              </w:rPr>
            </w:pPr>
            <w:r>
              <w:rPr>
                <w:rFonts w:hint="eastAsia" w:ascii="仿宋" w:hAnsi="仿宋" w:eastAsia="仿宋" w:cs="仿宋"/>
                <w:color w:val="auto"/>
                <w:spacing w:val="-6"/>
                <w:sz w:val="24"/>
                <w:highlight w:val="none"/>
                <w:lang w:bidi="zh-CN"/>
              </w:rPr>
              <w:t>3.进度控制内容包含但不限于：（1）进度计划时间安排及计划；（2）影响项目实施的因素分析及解决措施；（3）进度保障措施。（4）应急处理方案等</w:t>
            </w:r>
          </w:p>
          <w:p w14:paraId="5E290ECD">
            <w:pPr>
              <w:adjustRightInd w:val="0"/>
              <w:snapToGrid w:val="0"/>
              <w:spacing w:line="280" w:lineRule="exact"/>
              <w:rPr>
                <w:rFonts w:ascii="仿宋" w:hAnsi="仿宋" w:eastAsia="仿宋" w:cs="仿宋"/>
                <w:color w:val="auto"/>
                <w:spacing w:val="-6"/>
                <w:sz w:val="24"/>
                <w:highlight w:val="none"/>
                <w:lang w:bidi="zh-CN"/>
              </w:rPr>
            </w:pPr>
            <w:r>
              <w:rPr>
                <w:rFonts w:hint="eastAsia" w:ascii="仿宋" w:hAnsi="仿宋" w:eastAsia="仿宋" w:cs="仿宋"/>
                <w:color w:val="auto"/>
                <w:spacing w:val="-6"/>
                <w:sz w:val="24"/>
                <w:highlight w:val="none"/>
                <w:lang w:bidi="zh-CN"/>
              </w:rPr>
              <w:t>4.应急响应措施内容包含但不限于：（1）承诺1小时内抵达现场，并提供详尽的应急响应方案；（2）在本市配备常驻的专业技术人员团队、车辆及设备等。</w:t>
            </w:r>
          </w:p>
          <w:p w14:paraId="03A8C958">
            <w:pPr>
              <w:adjustRightInd w:val="0"/>
              <w:snapToGrid w:val="0"/>
              <w:spacing w:line="280" w:lineRule="exact"/>
              <w:rPr>
                <w:rFonts w:ascii="仿宋" w:hAnsi="仿宋" w:eastAsia="仿宋" w:cs="仿宋"/>
                <w:color w:val="auto"/>
                <w:spacing w:val="-6"/>
                <w:sz w:val="24"/>
                <w:highlight w:val="none"/>
                <w:lang w:val="zh-CN" w:bidi="zh-CN"/>
              </w:rPr>
            </w:pPr>
            <w:r>
              <w:rPr>
                <w:rFonts w:hint="eastAsia" w:ascii="仿宋" w:hAnsi="仿宋" w:eastAsia="仿宋" w:cs="仿宋"/>
                <w:color w:val="auto"/>
                <w:spacing w:val="-6"/>
                <w:sz w:val="24"/>
                <w:highlight w:val="none"/>
                <w:lang w:val="zh-CN" w:bidi="zh-CN"/>
              </w:rPr>
              <w:t>上述</w:t>
            </w:r>
            <w:r>
              <w:rPr>
                <w:rFonts w:hint="eastAsia" w:ascii="仿宋" w:hAnsi="仿宋" w:eastAsia="仿宋" w:cs="仿宋"/>
                <w:color w:val="auto"/>
                <w:spacing w:val="-6"/>
                <w:sz w:val="24"/>
                <w:highlight w:val="none"/>
                <w:lang w:bidi="zh-CN"/>
              </w:rPr>
              <w:t>4</w:t>
            </w:r>
            <w:r>
              <w:rPr>
                <w:rFonts w:hint="eastAsia" w:ascii="仿宋" w:hAnsi="仿宋" w:eastAsia="仿宋" w:cs="仿宋"/>
                <w:color w:val="auto"/>
                <w:spacing w:val="-6"/>
                <w:sz w:val="24"/>
                <w:highlight w:val="none"/>
                <w:lang w:val="zh-CN" w:bidi="zh-CN"/>
              </w:rPr>
              <w:t>方面内容中每缺少一项内容扣</w:t>
            </w:r>
            <w:r>
              <w:rPr>
                <w:rFonts w:hint="eastAsia" w:ascii="仿宋" w:hAnsi="仿宋" w:eastAsia="仿宋" w:cs="仿宋"/>
                <w:color w:val="auto"/>
                <w:spacing w:val="-6"/>
                <w:sz w:val="24"/>
                <w:highlight w:val="none"/>
                <w:lang w:bidi="zh-CN"/>
              </w:rPr>
              <w:t>5</w:t>
            </w:r>
            <w:r>
              <w:rPr>
                <w:rFonts w:hint="eastAsia" w:ascii="仿宋" w:hAnsi="仿宋" w:eastAsia="仿宋" w:cs="仿宋"/>
                <w:color w:val="auto"/>
                <w:spacing w:val="-6"/>
                <w:sz w:val="24"/>
                <w:highlight w:val="none"/>
                <w:lang w:val="zh-CN" w:bidi="zh-CN"/>
              </w:rPr>
              <w:t>分，每有一处需求分析内容存在缺陷或不足的扣</w:t>
            </w:r>
            <w:r>
              <w:rPr>
                <w:rFonts w:hint="eastAsia" w:ascii="仿宋" w:hAnsi="仿宋" w:eastAsia="仿宋" w:cs="仿宋"/>
                <w:color w:val="auto"/>
                <w:spacing w:val="-6"/>
                <w:sz w:val="24"/>
                <w:highlight w:val="none"/>
                <w:lang w:bidi="zh-CN"/>
              </w:rPr>
              <w:t>3</w:t>
            </w:r>
            <w:r>
              <w:rPr>
                <w:rFonts w:hint="eastAsia" w:ascii="仿宋" w:hAnsi="仿宋" w:eastAsia="仿宋" w:cs="仿宋"/>
                <w:color w:val="auto"/>
                <w:spacing w:val="-6"/>
                <w:sz w:val="24"/>
                <w:highlight w:val="none"/>
                <w:lang w:val="zh-CN" w:bidi="zh-CN"/>
              </w:rPr>
              <w:t>分，扣完为止。(本项最高得</w:t>
            </w:r>
            <w:r>
              <w:rPr>
                <w:rFonts w:hint="eastAsia" w:ascii="仿宋" w:hAnsi="仿宋" w:eastAsia="仿宋" w:cs="仿宋"/>
                <w:color w:val="auto"/>
                <w:spacing w:val="-6"/>
                <w:sz w:val="24"/>
                <w:highlight w:val="none"/>
                <w:lang w:bidi="zh-CN"/>
              </w:rPr>
              <w:t>20</w:t>
            </w:r>
            <w:r>
              <w:rPr>
                <w:rFonts w:hint="eastAsia" w:ascii="仿宋" w:hAnsi="仿宋" w:eastAsia="仿宋" w:cs="仿宋"/>
                <w:color w:val="auto"/>
                <w:spacing w:val="-6"/>
                <w:sz w:val="24"/>
                <w:highlight w:val="none"/>
                <w:lang w:val="zh-CN" w:bidi="zh-CN"/>
              </w:rPr>
              <w:t>分)</w:t>
            </w:r>
          </w:p>
          <w:p w14:paraId="3FB0D0CB">
            <w:pPr>
              <w:adjustRightInd w:val="0"/>
              <w:snapToGrid w:val="0"/>
              <w:spacing w:line="280" w:lineRule="exact"/>
              <w:rPr>
                <w:rFonts w:ascii="仿宋" w:hAnsi="仿宋" w:eastAsia="仿宋" w:cs="仿宋"/>
                <w:color w:val="auto"/>
                <w:spacing w:val="-6"/>
                <w:sz w:val="24"/>
                <w:highlight w:val="none"/>
                <w:lang w:val="zh-CN" w:bidi="zh-CN"/>
              </w:rPr>
            </w:pPr>
            <w:r>
              <w:rPr>
                <w:rFonts w:hint="eastAsia" w:ascii="仿宋" w:hAnsi="仿宋" w:eastAsia="仿宋" w:cs="仿宋"/>
                <w:color w:val="auto"/>
                <w:spacing w:val="-6"/>
                <w:sz w:val="24"/>
                <w:highlight w:val="none"/>
                <w:lang w:val="zh-CN" w:bidi="zh-CN"/>
              </w:rPr>
              <w:t>注：实施方案内容存在缺陷或不足是指以下任意一种情形：</w:t>
            </w:r>
          </w:p>
          <w:p w14:paraId="1C5AED93">
            <w:pPr>
              <w:ind w:firstLine="482" w:firstLineChars="200"/>
              <w:jc w:val="left"/>
              <w:rPr>
                <w:rFonts w:ascii="仿宋" w:hAnsi="仿宋" w:eastAsia="仿宋" w:cs="仿宋"/>
                <w:color w:val="auto"/>
                <w:sz w:val="24"/>
                <w:highlight w:val="none"/>
              </w:rPr>
            </w:pPr>
            <w:r>
              <w:rPr>
                <w:rFonts w:hint="eastAsia" w:ascii="仿宋" w:hAnsi="仿宋" w:eastAsia="仿宋" w:cs="仿宋"/>
                <w:b/>
                <w:color w:val="auto"/>
                <w:sz w:val="24"/>
                <w:highlight w:val="none"/>
                <w:lang w:val="zh-CN"/>
              </w:rPr>
              <w:t>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p>
        </w:tc>
        <w:tc>
          <w:tcPr>
            <w:tcW w:w="943" w:type="dxa"/>
            <w:vAlign w:val="center"/>
          </w:tcPr>
          <w:p w14:paraId="4D015A54">
            <w:pPr>
              <w:ind w:firstLine="482" w:firstLineChars="200"/>
              <w:jc w:val="left"/>
              <w:rPr>
                <w:rFonts w:ascii="仿宋" w:hAnsi="仿宋" w:eastAsia="仿宋" w:cs="仿宋"/>
                <w:b/>
                <w:color w:val="auto"/>
                <w:sz w:val="24"/>
                <w:highlight w:val="none"/>
                <w:lang w:val="zh-CN"/>
              </w:rPr>
            </w:pPr>
          </w:p>
        </w:tc>
        <w:tc>
          <w:tcPr>
            <w:tcW w:w="943" w:type="dxa"/>
            <w:vAlign w:val="center"/>
          </w:tcPr>
          <w:p w14:paraId="4F109D03">
            <w:pPr>
              <w:ind w:firstLine="482" w:firstLineChars="200"/>
              <w:jc w:val="left"/>
              <w:rPr>
                <w:rFonts w:ascii="仿宋" w:hAnsi="仿宋" w:eastAsia="仿宋" w:cs="仿宋"/>
                <w:b/>
                <w:color w:val="auto"/>
                <w:sz w:val="24"/>
                <w:highlight w:val="none"/>
                <w:lang w:val="zh-CN"/>
              </w:rPr>
            </w:pPr>
          </w:p>
        </w:tc>
      </w:tr>
      <w:tr w14:paraId="6DF491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847" w:type="dxa"/>
            <w:vAlign w:val="center"/>
          </w:tcPr>
          <w:p w14:paraId="536EAFA8">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1201" w:type="dxa"/>
            <w:vAlign w:val="center"/>
          </w:tcPr>
          <w:p w14:paraId="481A9891">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拟派项目团队</w:t>
            </w:r>
          </w:p>
        </w:tc>
        <w:tc>
          <w:tcPr>
            <w:tcW w:w="900" w:type="dxa"/>
            <w:vAlign w:val="center"/>
          </w:tcPr>
          <w:p w14:paraId="187BC9FF">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10</w:t>
            </w:r>
          </w:p>
        </w:tc>
        <w:tc>
          <w:tcPr>
            <w:tcW w:w="5339" w:type="dxa"/>
            <w:vAlign w:val="center"/>
          </w:tcPr>
          <w:p w14:paraId="7EA0BCD2">
            <w:pPr>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1.人员配置方案：</w:t>
            </w:r>
          </w:p>
          <w:p w14:paraId="2440CB58">
            <w:pPr>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（1）消防类负责人1人：具有一级注册消防工程师的得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14:paraId="2E41086A">
            <w:pPr>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）鉴定类负责人1人：具有中级工程师及以上职称证书和一级注册结构工程师证书的得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14:paraId="2CF7342E">
            <w:pPr>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）拟派本项目团队中（除项目总负责人、消防类负责人、鉴定类负责人外）具有</w:t>
            </w:r>
            <w:r>
              <w:rPr>
                <w:rFonts w:hint="eastAsia" w:ascii="仿宋" w:hAnsi="仿宋" w:eastAsia="仿宋" w:cs="仿宋"/>
                <w:b/>
                <w:bCs/>
                <w:color w:val="auto"/>
                <w:sz w:val="24"/>
                <w:highlight w:val="none"/>
              </w:rPr>
              <w:t>省级及以上建设行政主管部门或相关机构核发的建设工程质量检测人员岗位合格证或培训证书</w:t>
            </w:r>
            <w:r>
              <w:rPr>
                <w:rFonts w:hint="eastAsia" w:ascii="仿宋" w:hAnsi="仿宋" w:eastAsia="仿宋" w:cs="仿宋"/>
                <w:b/>
                <w:bCs/>
                <w:color w:val="auto"/>
                <w:sz w:val="24"/>
                <w:highlight w:val="none"/>
                <w:lang w:val="en-US" w:eastAsia="zh-CN"/>
              </w:rPr>
              <w:t>及</w:t>
            </w:r>
            <w:r>
              <w:rPr>
                <w:rFonts w:hint="eastAsia" w:ascii="仿宋" w:hAnsi="仿宋" w:eastAsia="仿宋" w:cs="仿宋"/>
                <w:color w:val="auto"/>
                <w:sz w:val="24"/>
                <w:highlight w:val="none"/>
              </w:rPr>
              <w:t>中级职称的有1人得1分，具有高级职称的有1人得2分，本项目最多6分。</w:t>
            </w:r>
          </w:p>
          <w:p w14:paraId="04C852D1">
            <w:pPr>
              <w:ind w:firstLine="482" w:firstLineChars="200"/>
              <w:jc w:val="left"/>
              <w:rPr>
                <w:rFonts w:ascii="仿宋" w:hAnsi="仿宋" w:eastAsia="仿宋" w:cs="仿宋"/>
                <w:color w:val="auto"/>
                <w:sz w:val="24"/>
                <w:highlight w:val="none"/>
              </w:rPr>
            </w:pPr>
            <w:r>
              <w:rPr>
                <w:rFonts w:hint="eastAsia" w:ascii="仿宋" w:hAnsi="仿宋" w:eastAsia="仿宋" w:cs="仿宋"/>
                <w:b/>
                <w:bCs/>
                <w:color w:val="auto"/>
                <w:sz w:val="24"/>
                <w:highlight w:val="none"/>
              </w:rPr>
              <w:t>注：须提供拟派相关人员的省级及以上建设行政主管部门或相关机构核发的建设工程质量检测人员岗位合格证或培训证书、职称证书、注册执业资格证书等相关证书，同时须提供</w:t>
            </w:r>
            <w:r>
              <w:rPr>
                <w:rFonts w:hint="eastAsia" w:ascii="仿宋" w:hAnsi="仿宋" w:eastAsia="仿宋" w:cs="仿宋"/>
                <w:b/>
                <w:bCs/>
                <w:color w:val="auto"/>
                <w:sz w:val="24"/>
                <w:szCs w:val="28"/>
                <w:highlight w:val="none"/>
              </w:rPr>
              <w:t>响应文件提交截止日前最近</w:t>
            </w:r>
            <w:r>
              <w:rPr>
                <w:rFonts w:hint="eastAsia" w:ascii="仿宋" w:hAnsi="仿宋" w:eastAsia="仿宋" w:cs="仿宋"/>
                <w:b/>
                <w:bCs/>
                <w:color w:val="auto"/>
                <w:sz w:val="24"/>
                <w:szCs w:val="28"/>
                <w:highlight w:val="none"/>
                <w:lang w:val="en-US" w:eastAsia="zh-CN"/>
              </w:rPr>
              <w:t>1</w:t>
            </w:r>
            <w:bookmarkStart w:id="57" w:name="_GoBack"/>
            <w:bookmarkEnd w:id="57"/>
            <w:r>
              <w:rPr>
                <w:rFonts w:hint="eastAsia" w:ascii="仿宋" w:hAnsi="仿宋" w:eastAsia="仿宋" w:cs="仿宋"/>
                <w:b/>
                <w:bCs/>
                <w:color w:val="auto"/>
                <w:sz w:val="24"/>
                <w:szCs w:val="28"/>
                <w:highlight w:val="none"/>
              </w:rPr>
              <w:t>个月响应供应商为以上人员缴纳社保的证明；新成立企业距响应文件提交截止日期不足30日的，可不提供缴纳社保的证明（以新办企业营业执照发放日期为准）。</w:t>
            </w:r>
          </w:p>
        </w:tc>
        <w:tc>
          <w:tcPr>
            <w:tcW w:w="943" w:type="dxa"/>
            <w:vAlign w:val="center"/>
          </w:tcPr>
          <w:p w14:paraId="690ABF15">
            <w:pPr>
              <w:ind w:firstLine="482" w:firstLineChars="200"/>
              <w:jc w:val="left"/>
              <w:rPr>
                <w:rFonts w:ascii="仿宋" w:hAnsi="仿宋" w:eastAsia="仿宋" w:cs="仿宋"/>
                <w:b/>
                <w:bCs/>
                <w:color w:val="auto"/>
                <w:sz w:val="24"/>
                <w:highlight w:val="none"/>
              </w:rPr>
            </w:pPr>
          </w:p>
        </w:tc>
        <w:tc>
          <w:tcPr>
            <w:tcW w:w="943" w:type="dxa"/>
            <w:vAlign w:val="center"/>
          </w:tcPr>
          <w:p w14:paraId="7A02BFBA">
            <w:pPr>
              <w:ind w:firstLine="482" w:firstLineChars="200"/>
              <w:jc w:val="left"/>
              <w:rPr>
                <w:rFonts w:ascii="仿宋" w:hAnsi="仿宋" w:eastAsia="仿宋" w:cs="仿宋"/>
                <w:b/>
                <w:bCs/>
                <w:color w:val="auto"/>
                <w:sz w:val="24"/>
                <w:highlight w:val="none"/>
              </w:rPr>
            </w:pPr>
          </w:p>
        </w:tc>
      </w:tr>
      <w:tr w14:paraId="3BCB5C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847" w:type="dxa"/>
            <w:vAlign w:val="center"/>
          </w:tcPr>
          <w:p w14:paraId="3FED03C2">
            <w:pPr>
              <w:widowControl/>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1201" w:type="dxa"/>
            <w:vAlign w:val="center"/>
          </w:tcPr>
          <w:p w14:paraId="2940C8D8">
            <w:pPr>
              <w:spacing w:line="300" w:lineRule="exact"/>
              <w:jc w:val="center"/>
              <w:rPr>
                <w:rFonts w:ascii="仿宋" w:hAnsi="仿宋" w:eastAsia="仿宋" w:cs="仿宋"/>
                <w:color w:val="auto"/>
                <w:sz w:val="24"/>
                <w:highlight w:val="none"/>
              </w:rPr>
            </w:pPr>
            <w:r>
              <w:rPr>
                <w:rFonts w:hint="eastAsia" w:ascii="仿宋" w:hAnsi="仿宋" w:eastAsia="仿宋" w:cs="仿宋"/>
                <w:color w:val="auto"/>
                <w:sz w:val="24"/>
                <w:szCs w:val="28"/>
                <w:highlight w:val="none"/>
              </w:rPr>
              <w:t>业绩</w:t>
            </w:r>
          </w:p>
        </w:tc>
        <w:tc>
          <w:tcPr>
            <w:tcW w:w="900" w:type="dxa"/>
            <w:vAlign w:val="center"/>
          </w:tcPr>
          <w:p w14:paraId="75CEB989">
            <w:pPr>
              <w:spacing w:line="560" w:lineRule="exact"/>
              <w:jc w:val="center"/>
              <w:rPr>
                <w:rFonts w:ascii="仿宋" w:hAnsi="仿宋" w:eastAsia="仿宋" w:cs="仿宋"/>
                <w:color w:val="auto"/>
                <w:sz w:val="24"/>
                <w:highlight w:val="none"/>
              </w:rPr>
            </w:pPr>
            <w:r>
              <w:rPr>
                <w:rFonts w:hint="eastAsia" w:ascii="仿宋" w:hAnsi="仿宋" w:eastAsia="仿宋" w:cs="仿宋"/>
                <w:color w:val="auto"/>
                <w:sz w:val="24"/>
                <w:szCs w:val="28"/>
                <w:highlight w:val="none"/>
              </w:rPr>
              <w:t>18</w:t>
            </w:r>
          </w:p>
        </w:tc>
        <w:tc>
          <w:tcPr>
            <w:tcW w:w="5339" w:type="dxa"/>
            <w:vAlign w:val="center"/>
          </w:tcPr>
          <w:p w14:paraId="100FD240">
            <w:pPr>
              <w:spacing w:line="300" w:lineRule="exact"/>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响应供应商自2021年1月1日以来，小区鉴定服务业绩的每提供一个得3分，最多得9分。小区消防安全评估业绩的每提供一个得3分，最多得9分。本项最多得18分。</w:t>
            </w:r>
          </w:p>
          <w:p w14:paraId="15668608">
            <w:pPr>
              <w:spacing w:line="300" w:lineRule="exact"/>
              <w:ind w:firstLine="482" w:firstLineChars="200"/>
              <w:rPr>
                <w:rFonts w:ascii="仿宋" w:hAnsi="仿宋" w:eastAsia="仿宋" w:cs="仿宋"/>
                <w:color w:val="auto"/>
                <w:sz w:val="24"/>
                <w:highlight w:val="none"/>
              </w:rPr>
            </w:pPr>
            <w:r>
              <w:rPr>
                <w:rFonts w:hint="eastAsia" w:ascii="仿宋" w:hAnsi="仿宋" w:eastAsia="仿宋" w:cs="仿宋"/>
                <w:b/>
                <w:bCs/>
                <w:color w:val="auto"/>
                <w:sz w:val="24"/>
                <w:szCs w:val="28"/>
                <w:highlight w:val="none"/>
              </w:rPr>
              <w:t>以上业绩以合同签订时间为准，项目合同内容须能反映合同签订时间、项目服务内容等，不提供不得分。</w:t>
            </w:r>
          </w:p>
        </w:tc>
        <w:tc>
          <w:tcPr>
            <w:tcW w:w="943" w:type="dxa"/>
            <w:vAlign w:val="center"/>
          </w:tcPr>
          <w:p w14:paraId="3D0B75BB">
            <w:pPr>
              <w:ind w:firstLine="480" w:firstLineChars="200"/>
              <w:jc w:val="left"/>
              <w:rPr>
                <w:rFonts w:ascii="仿宋" w:hAnsi="仿宋" w:eastAsia="仿宋" w:cs="仿宋"/>
                <w:color w:val="auto"/>
                <w:sz w:val="24"/>
                <w:highlight w:val="none"/>
              </w:rPr>
            </w:pPr>
          </w:p>
        </w:tc>
        <w:tc>
          <w:tcPr>
            <w:tcW w:w="943" w:type="dxa"/>
            <w:vAlign w:val="center"/>
          </w:tcPr>
          <w:p w14:paraId="503AB84D">
            <w:pPr>
              <w:ind w:firstLine="480" w:firstLineChars="200"/>
              <w:jc w:val="left"/>
              <w:rPr>
                <w:rFonts w:ascii="仿宋" w:hAnsi="仿宋" w:eastAsia="仿宋" w:cs="仿宋"/>
                <w:color w:val="auto"/>
                <w:sz w:val="24"/>
                <w:highlight w:val="none"/>
              </w:rPr>
            </w:pPr>
          </w:p>
        </w:tc>
      </w:tr>
      <w:tr w14:paraId="5982B5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847" w:type="dxa"/>
            <w:tcBorders>
              <w:bottom w:val="single" w:color="auto" w:sz="4" w:space="0"/>
            </w:tcBorders>
            <w:vAlign w:val="center"/>
          </w:tcPr>
          <w:p w14:paraId="522D71E6">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4</w:t>
            </w:r>
          </w:p>
        </w:tc>
        <w:tc>
          <w:tcPr>
            <w:tcW w:w="1201" w:type="dxa"/>
            <w:tcBorders>
              <w:bottom w:val="single" w:color="auto" w:sz="4" w:space="0"/>
            </w:tcBorders>
            <w:vAlign w:val="center"/>
          </w:tcPr>
          <w:p w14:paraId="19755DA1">
            <w:pPr>
              <w:spacing w:line="300" w:lineRule="exact"/>
              <w:jc w:val="center"/>
              <w:rPr>
                <w:rFonts w:ascii="仿宋" w:hAnsi="仿宋" w:eastAsia="仿宋" w:cs="仿宋"/>
                <w:color w:val="auto"/>
                <w:sz w:val="24"/>
                <w:highlight w:val="none"/>
              </w:rPr>
            </w:pPr>
            <w:r>
              <w:rPr>
                <w:rFonts w:hint="eastAsia" w:ascii="仿宋" w:hAnsi="仿宋" w:eastAsia="仿宋" w:cs="仿宋"/>
                <w:color w:val="auto"/>
                <w:sz w:val="24"/>
                <w:szCs w:val="28"/>
                <w:highlight w:val="none"/>
              </w:rPr>
              <w:t>能力验证</w:t>
            </w:r>
          </w:p>
        </w:tc>
        <w:tc>
          <w:tcPr>
            <w:tcW w:w="900" w:type="dxa"/>
            <w:tcBorders>
              <w:bottom w:val="single" w:color="auto" w:sz="4" w:space="0"/>
            </w:tcBorders>
            <w:vAlign w:val="center"/>
          </w:tcPr>
          <w:p w14:paraId="02477454">
            <w:pPr>
              <w:spacing w:line="560" w:lineRule="exact"/>
              <w:jc w:val="center"/>
              <w:rPr>
                <w:rFonts w:ascii="仿宋" w:hAnsi="仿宋" w:eastAsia="仿宋" w:cs="仿宋"/>
                <w:color w:val="auto"/>
                <w:sz w:val="24"/>
                <w:highlight w:val="none"/>
              </w:rPr>
            </w:pPr>
            <w:r>
              <w:rPr>
                <w:rFonts w:hint="eastAsia" w:ascii="仿宋" w:hAnsi="仿宋" w:eastAsia="仿宋" w:cs="仿宋"/>
                <w:color w:val="auto"/>
                <w:sz w:val="24"/>
                <w:szCs w:val="28"/>
                <w:highlight w:val="none"/>
              </w:rPr>
              <w:t>22</w:t>
            </w:r>
          </w:p>
        </w:tc>
        <w:tc>
          <w:tcPr>
            <w:tcW w:w="5339" w:type="dxa"/>
            <w:tcBorders>
              <w:bottom w:val="single" w:color="auto" w:sz="4" w:space="0"/>
            </w:tcBorders>
            <w:vAlign w:val="center"/>
          </w:tcPr>
          <w:p w14:paraId="3D71BD32">
            <w:pPr>
              <w:spacing w:line="300" w:lineRule="exact"/>
              <w:ind w:firstLine="480" w:firstLineChars="200"/>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响应供应商自2021年1月1日以来，参加过省级及以上建设主管部门、省级及以上市场监督管理部门能力验证结果为满意的，每提供1个得2分，最高得8分；</w:t>
            </w:r>
          </w:p>
          <w:p w14:paraId="77AD670E">
            <w:pPr>
              <w:spacing w:line="300" w:lineRule="exact"/>
              <w:ind w:firstLine="480" w:firstLineChars="200"/>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响应供应商自2021年1月1日以来参与国家认证认可监督管理委员会授权的国家级检测试验认证机构组织的检测能力验证，结果“满意”的每提供1个得2分，最高得14分；</w:t>
            </w:r>
          </w:p>
          <w:p w14:paraId="4AA943EB">
            <w:pPr>
              <w:spacing w:line="300" w:lineRule="exact"/>
              <w:ind w:firstLine="482" w:firstLineChars="200"/>
              <w:rPr>
                <w:rFonts w:ascii="仿宋" w:hAnsi="仿宋" w:eastAsia="仿宋" w:cs="仿宋"/>
                <w:color w:val="auto"/>
                <w:sz w:val="24"/>
                <w:highlight w:val="none"/>
              </w:rPr>
            </w:pPr>
            <w:r>
              <w:rPr>
                <w:rFonts w:hint="eastAsia" w:ascii="仿宋" w:hAnsi="仿宋" w:eastAsia="仿宋" w:cs="仿宋"/>
                <w:b/>
                <w:bCs/>
                <w:color w:val="auto"/>
                <w:sz w:val="24"/>
                <w:szCs w:val="28"/>
                <w:highlight w:val="none"/>
              </w:rPr>
              <w:t>响应供应商须如实提供组织机构颁发的关于《能力验证的情况通报》完整文件或获得的证书，否则不得分。</w:t>
            </w:r>
          </w:p>
        </w:tc>
        <w:tc>
          <w:tcPr>
            <w:tcW w:w="943" w:type="dxa"/>
            <w:tcBorders>
              <w:bottom w:val="single" w:color="auto" w:sz="4" w:space="0"/>
            </w:tcBorders>
            <w:vAlign w:val="center"/>
          </w:tcPr>
          <w:p w14:paraId="0ED0C5C5">
            <w:pPr>
              <w:spacing w:line="300" w:lineRule="exact"/>
              <w:ind w:firstLine="482" w:firstLineChars="200"/>
              <w:rPr>
                <w:rFonts w:ascii="仿宋" w:hAnsi="仿宋" w:eastAsia="仿宋" w:cs="仿宋"/>
                <w:b/>
                <w:bCs/>
                <w:color w:val="auto"/>
                <w:sz w:val="24"/>
                <w:szCs w:val="28"/>
                <w:highlight w:val="none"/>
              </w:rPr>
            </w:pPr>
          </w:p>
        </w:tc>
        <w:tc>
          <w:tcPr>
            <w:tcW w:w="943" w:type="dxa"/>
            <w:tcBorders>
              <w:bottom w:val="single" w:color="auto" w:sz="4" w:space="0"/>
            </w:tcBorders>
            <w:vAlign w:val="center"/>
          </w:tcPr>
          <w:p w14:paraId="164F1C9B">
            <w:pPr>
              <w:spacing w:line="300" w:lineRule="exact"/>
              <w:ind w:firstLine="482" w:firstLineChars="200"/>
              <w:rPr>
                <w:rFonts w:ascii="仿宋" w:hAnsi="仿宋" w:eastAsia="仿宋" w:cs="仿宋"/>
                <w:b/>
                <w:bCs/>
                <w:color w:val="auto"/>
                <w:sz w:val="24"/>
                <w:szCs w:val="28"/>
                <w:highlight w:val="none"/>
              </w:rPr>
            </w:pPr>
          </w:p>
        </w:tc>
      </w:tr>
      <w:tr w14:paraId="5245FB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847" w:type="dxa"/>
            <w:tcBorders>
              <w:top w:val="single" w:color="auto" w:sz="4" w:space="0"/>
            </w:tcBorders>
            <w:vAlign w:val="center"/>
          </w:tcPr>
          <w:p w14:paraId="2EC441FE">
            <w:pPr>
              <w:adjustRightInd w:val="0"/>
              <w:snapToGrid w:val="0"/>
              <w:jc w:val="center"/>
              <w:rPr>
                <w:rFonts w:ascii="仿宋" w:hAnsi="仿宋" w:eastAsia="仿宋" w:cs="仿宋"/>
                <w:color w:val="auto"/>
                <w:sz w:val="24"/>
                <w:highlight w:val="none"/>
              </w:rPr>
            </w:pPr>
            <w:r>
              <w:rPr>
                <w:rFonts w:hint="eastAsia" w:ascii="仿宋" w:hAnsi="仿宋" w:eastAsia="仿宋" w:cs="仿宋"/>
                <w:color w:val="auto"/>
                <w:sz w:val="24"/>
                <w:highlight w:val="none"/>
              </w:rPr>
              <w:t>5</w:t>
            </w:r>
          </w:p>
        </w:tc>
        <w:tc>
          <w:tcPr>
            <w:tcW w:w="1201" w:type="dxa"/>
            <w:tcBorders>
              <w:top w:val="single" w:color="auto" w:sz="4" w:space="0"/>
            </w:tcBorders>
            <w:vAlign w:val="center"/>
          </w:tcPr>
          <w:p w14:paraId="11F40455">
            <w:pPr>
              <w:spacing w:line="300" w:lineRule="exact"/>
              <w:jc w:val="center"/>
              <w:rPr>
                <w:rFonts w:ascii="仿宋" w:hAnsi="仿宋" w:eastAsia="仿宋" w:cs="仿宋"/>
                <w:color w:val="auto"/>
                <w:kern w:val="2"/>
                <w:sz w:val="24"/>
                <w:highlight w:val="none"/>
              </w:rPr>
            </w:pPr>
            <w:r>
              <w:rPr>
                <w:rFonts w:hint="eastAsia" w:ascii="仿宋" w:hAnsi="仿宋" w:eastAsia="仿宋" w:cs="仿宋"/>
                <w:color w:val="auto"/>
                <w:sz w:val="24"/>
                <w:szCs w:val="28"/>
                <w:highlight w:val="none"/>
              </w:rPr>
              <w:t>企业荣誉</w:t>
            </w:r>
          </w:p>
        </w:tc>
        <w:tc>
          <w:tcPr>
            <w:tcW w:w="900" w:type="dxa"/>
            <w:tcBorders>
              <w:top w:val="single" w:color="auto" w:sz="4" w:space="0"/>
            </w:tcBorders>
            <w:vAlign w:val="center"/>
          </w:tcPr>
          <w:p w14:paraId="0253BCBE">
            <w:pPr>
              <w:spacing w:line="560" w:lineRule="exact"/>
              <w:jc w:val="center"/>
              <w:rPr>
                <w:rFonts w:ascii="仿宋" w:hAnsi="仿宋" w:eastAsia="仿宋" w:cs="仿宋"/>
                <w:color w:val="auto"/>
                <w:kern w:val="2"/>
                <w:sz w:val="24"/>
                <w:highlight w:val="none"/>
              </w:rPr>
            </w:pPr>
            <w:r>
              <w:rPr>
                <w:rFonts w:hint="eastAsia" w:ascii="仿宋" w:hAnsi="仿宋" w:eastAsia="仿宋" w:cs="仿宋"/>
                <w:color w:val="auto"/>
                <w:sz w:val="24"/>
                <w:szCs w:val="28"/>
                <w:highlight w:val="none"/>
              </w:rPr>
              <w:t>10</w:t>
            </w:r>
          </w:p>
        </w:tc>
        <w:tc>
          <w:tcPr>
            <w:tcW w:w="5339" w:type="dxa"/>
            <w:tcBorders>
              <w:top w:val="single" w:color="auto" w:sz="4" w:space="0"/>
            </w:tcBorders>
            <w:vAlign w:val="center"/>
          </w:tcPr>
          <w:p w14:paraId="3E317E5C">
            <w:pPr>
              <w:spacing w:line="300" w:lineRule="exact"/>
              <w:ind w:firstLine="480" w:firstLineChars="200"/>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t>响应供应商自2021年1月1日以来，获得设区市级及以上建设主管部门荣誉表彰或通报表扬的，每提供1个得6分，最高得6分。</w:t>
            </w:r>
          </w:p>
          <w:p w14:paraId="1F970249">
            <w:pPr>
              <w:ind w:firstLine="480" w:firstLineChars="200"/>
              <w:rPr>
                <w:color w:val="auto"/>
                <w:highlight w:val="none"/>
              </w:rPr>
            </w:pPr>
            <w:r>
              <w:rPr>
                <w:rFonts w:eastAsia="仿宋"/>
                <w:color w:val="auto"/>
                <w:sz w:val="24"/>
                <w:szCs w:val="28"/>
                <w:highlight w:val="none"/>
              </w:rPr>
              <w:t>响应供应商自2021年1月1日以来，获得</w:t>
            </w:r>
            <w:r>
              <w:rPr>
                <w:rFonts w:hint="eastAsia" w:eastAsia="仿宋"/>
                <w:color w:val="auto"/>
                <w:sz w:val="24"/>
                <w:szCs w:val="28"/>
                <w:highlight w:val="none"/>
              </w:rPr>
              <w:t>县（市、区）</w:t>
            </w:r>
            <w:r>
              <w:rPr>
                <w:rFonts w:eastAsia="仿宋"/>
                <w:color w:val="auto"/>
                <w:sz w:val="24"/>
                <w:szCs w:val="28"/>
                <w:highlight w:val="none"/>
              </w:rPr>
              <w:t>级建设主管部门荣誉表彰或通报表扬的，每提供1个得</w:t>
            </w:r>
            <w:r>
              <w:rPr>
                <w:rFonts w:hint="eastAsia" w:eastAsia="仿宋"/>
                <w:color w:val="auto"/>
                <w:sz w:val="24"/>
                <w:szCs w:val="28"/>
                <w:highlight w:val="none"/>
              </w:rPr>
              <w:t>2</w:t>
            </w:r>
            <w:r>
              <w:rPr>
                <w:rFonts w:eastAsia="仿宋"/>
                <w:color w:val="auto"/>
                <w:sz w:val="24"/>
                <w:szCs w:val="28"/>
                <w:highlight w:val="none"/>
              </w:rPr>
              <w:t>分，最高得</w:t>
            </w:r>
            <w:r>
              <w:rPr>
                <w:rFonts w:hint="eastAsia" w:eastAsia="仿宋"/>
                <w:color w:val="auto"/>
                <w:sz w:val="24"/>
                <w:szCs w:val="28"/>
                <w:highlight w:val="none"/>
              </w:rPr>
              <w:t>4</w:t>
            </w:r>
            <w:r>
              <w:rPr>
                <w:rFonts w:eastAsia="仿宋"/>
                <w:color w:val="auto"/>
                <w:sz w:val="24"/>
                <w:szCs w:val="28"/>
                <w:highlight w:val="none"/>
              </w:rPr>
              <w:t>分。</w:t>
            </w:r>
          </w:p>
          <w:p w14:paraId="4219976E">
            <w:pPr>
              <w:spacing w:line="300" w:lineRule="exact"/>
              <w:ind w:firstLine="482" w:firstLineChars="200"/>
              <w:rPr>
                <w:rFonts w:ascii="仿宋" w:hAnsi="仿宋" w:eastAsia="仿宋" w:cs="仿宋"/>
                <w:color w:val="auto"/>
                <w:kern w:val="2"/>
                <w:sz w:val="24"/>
                <w:highlight w:val="none"/>
              </w:rPr>
            </w:pPr>
            <w:r>
              <w:rPr>
                <w:rFonts w:hint="eastAsia" w:ascii="仿宋" w:hAnsi="仿宋" w:eastAsia="仿宋" w:cs="仿宋"/>
                <w:b/>
                <w:bCs/>
                <w:color w:val="auto"/>
                <w:sz w:val="24"/>
                <w:szCs w:val="28"/>
                <w:highlight w:val="none"/>
              </w:rPr>
              <w:t>须提供证书或通报表扬复印件并加盖单位公章，不提供不得分。</w:t>
            </w:r>
          </w:p>
        </w:tc>
        <w:tc>
          <w:tcPr>
            <w:tcW w:w="943" w:type="dxa"/>
            <w:tcBorders>
              <w:top w:val="single" w:color="auto" w:sz="4" w:space="0"/>
            </w:tcBorders>
            <w:vAlign w:val="center"/>
          </w:tcPr>
          <w:p w14:paraId="237548D6">
            <w:pPr>
              <w:spacing w:line="300" w:lineRule="exact"/>
              <w:ind w:firstLine="482" w:firstLineChars="200"/>
              <w:rPr>
                <w:rFonts w:ascii="仿宋" w:hAnsi="仿宋" w:eastAsia="仿宋" w:cs="仿宋"/>
                <w:b/>
                <w:bCs/>
                <w:color w:val="auto"/>
                <w:sz w:val="24"/>
                <w:szCs w:val="28"/>
                <w:highlight w:val="none"/>
              </w:rPr>
            </w:pPr>
          </w:p>
        </w:tc>
        <w:tc>
          <w:tcPr>
            <w:tcW w:w="943" w:type="dxa"/>
            <w:tcBorders>
              <w:top w:val="single" w:color="auto" w:sz="4" w:space="0"/>
            </w:tcBorders>
            <w:vAlign w:val="center"/>
          </w:tcPr>
          <w:p w14:paraId="6C9A1B1A">
            <w:pPr>
              <w:spacing w:line="300" w:lineRule="exact"/>
              <w:ind w:firstLine="482" w:firstLineChars="200"/>
              <w:rPr>
                <w:rFonts w:ascii="仿宋" w:hAnsi="仿宋" w:eastAsia="仿宋" w:cs="仿宋"/>
                <w:b/>
                <w:bCs/>
                <w:color w:val="auto"/>
                <w:sz w:val="24"/>
                <w:szCs w:val="28"/>
                <w:highlight w:val="none"/>
              </w:rPr>
            </w:pPr>
          </w:p>
        </w:tc>
      </w:tr>
    </w:tbl>
    <w:p w14:paraId="6D852972">
      <w:pPr>
        <w:ind w:firstLine="641"/>
        <w:jc w:val="center"/>
        <w:rPr>
          <w:rFonts w:ascii="方正小标宋简体" w:hAnsi="宋体" w:eastAsia="方正小标宋简体"/>
          <w:color w:val="auto"/>
          <w:sz w:val="32"/>
          <w:szCs w:val="32"/>
          <w:highlight w:val="none"/>
        </w:rPr>
      </w:pPr>
    </w:p>
    <w:p w14:paraId="22B30146">
      <w:pPr>
        <w:rPr>
          <w:rFonts w:ascii="仿宋" w:hAnsi="仿宋" w:eastAsia="仿宋"/>
          <w:bCs/>
          <w:color w:val="auto"/>
          <w:sz w:val="28"/>
          <w:szCs w:val="28"/>
          <w:highlight w:val="none"/>
        </w:rPr>
      </w:pPr>
      <w:r>
        <w:rPr>
          <w:rFonts w:hint="eastAsia" w:ascii="仿宋" w:hAnsi="仿宋" w:eastAsia="仿宋"/>
          <w:color w:val="auto"/>
          <w:szCs w:val="21"/>
          <w:highlight w:val="none"/>
        </w:rPr>
        <w:t>注：按照竞争性磋商文件要求详细填列，可增减行。</w:t>
      </w:r>
    </w:p>
    <w:p w14:paraId="282777BF">
      <w:pPr>
        <w:ind w:firstLine="560"/>
        <w:rPr>
          <w:rFonts w:ascii="仿宋" w:hAnsi="仿宋" w:eastAsia="仿宋"/>
          <w:color w:val="auto"/>
          <w:sz w:val="28"/>
          <w:szCs w:val="28"/>
          <w:highlight w:val="none"/>
        </w:rPr>
      </w:pPr>
    </w:p>
    <w:p w14:paraId="0261FEE1">
      <w:pPr>
        <w:pStyle w:val="10"/>
        <w:ind w:left="420"/>
        <w:rPr>
          <w:rFonts w:ascii="仿宋" w:hAnsi="仿宋" w:eastAsia="仿宋"/>
          <w:color w:val="auto"/>
          <w:sz w:val="28"/>
          <w:szCs w:val="28"/>
          <w:highlight w:val="none"/>
        </w:rPr>
      </w:pPr>
    </w:p>
    <w:p w14:paraId="7AF0C313">
      <w:pPr>
        <w:rPr>
          <w:rFonts w:ascii="仿宋" w:hAnsi="仿宋" w:eastAsia="仿宋"/>
          <w:color w:val="auto"/>
          <w:sz w:val="28"/>
          <w:szCs w:val="28"/>
          <w:highlight w:val="none"/>
        </w:rPr>
      </w:pPr>
    </w:p>
    <w:p w14:paraId="1015413D">
      <w:pPr>
        <w:pStyle w:val="10"/>
        <w:ind w:left="420"/>
        <w:rPr>
          <w:rFonts w:ascii="仿宋" w:hAnsi="仿宋" w:eastAsia="仿宋"/>
          <w:color w:val="auto"/>
          <w:sz w:val="28"/>
          <w:szCs w:val="28"/>
          <w:highlight w:val="none"/>
        </w:rPr>
      </w:pPr>
    </w:p>
    <w:p w14:paraId="52B725B2">
      <w:pPr>
        <w:rPr>
          <w:rFonts w:ascii="仿宋" w:hAnsi="仿宋" w:eastAsia="仿宋"/>
          <w:color w:val="auto"/>
          <w:sz w:val="28"/>
          <w:szCs w:val="28"/>
          <w:highlight w:val="none"/>
        </w:rPr>
      </w:pPr>
    </w:p>
    <w:p w14:paraId="2F2A3FB2">
      <w:pPr>
        <w:pStyle w:val="10"/>
        <w:ind w:left="420"/>
        <w:rPr>
          <w:rFonts w:ascii="仿宋" w:hAnsi="仿宋" w:eastAsia="仿宋"/>
          <w:color w:val="auto"/>
          <w:sz w:val="28"/>
          <w:szCs w:val="28"/>
          <w:highlight w:val="none"/>
        </w:rPr>
      </w:pPr>
    </w:p>
    <w:p w14:paraId="425BBD19">
      <w:pPr>
        <w:rPr>
          <w:rFonts w:ascii="仿宋" w:hAnsi="仿宋" w:eastAsia="仿宋"/>
          <w:color w:val="auto"/>
          <w:sz w:val="28"/>
          <w:szCs w:val="28"/>
          <w:highlight w:val="none"/>
        </w:rPr>
      </w:pPr>
    </w:p>
    <w:p w14:paraId="21A36D8E">
      <w:pPr>
        <w:pStyle w:val="10"/>
        <w:ind w:left="420"/>
        <w:rPr>
          <w:rFonts w:ascii="仿宋" w:hAnsi="仿宋" w:eastAsia="仿宋"/>
          <w:color w:val="auto"/>
          <w:sz w:val="28"/>
          <w:szCs w:val="28"/>
          <w:highlight w:val="none"/>
        </w:rPr>
      </w:pPr>
    </w:p>
    <w:p w14:paraId="2E34782E">
      <w:pPr>
        <w:rPr>
          <w:color w:val="auto"/>
          <w:highlight w:val="none"/>
        </w:rPr>
      </w:pPr>
    </w:p>
    <w:p w14:paraId="0EC601E3">
      <w:pPr>
        <w:ind w:firstLine="560"/>
        <w:rPr>
          <w:rFonts w:ascii="仿宋" w:hAnsi="仿宋" w:eastAsia="仿宋"/>
          <w:color w:val="auto"/>
          <w:sz w:val="28"/>
          <w:szCs w:val="28"/>
          <w:highlight w:val="none"/>
        </w:rPr>
      </w:pPr>
      <w:r>
        <w:rPr>
          <w:rFonts w:hint="eastAsia" w:ascii="仿宋" w:hAnsi="仿宋" w:eastAsia="仿宋"/>
          <w:bCs/>
          <w:color w:val="auto"/>
          <w:sz w:val="28"/>
          <w:szCs w:val="28"/>
          <w:highlight w:val="none"/>
        </w:rPr>
        <w:t>（二）商务部分正负偏离表</w:t>
      </w:r>
    </w:p>
    <w:p w14:paraId="5D40CD83">
      <w:pPr>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商务部分正负偏离表</w:t>
      </w:r>
    </w:p>
    <w:tbl>
      <w:tblPr>
        <w:tblStyle w:val="11"/>
        <w:tblW w:w="5331"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736"/>
        <w:gridCol w:w="1625"/>
        <w:gridCol w:w="3920"/>
        <w:gridCol w:w="1475"/>
        <w:gridCol w:w="1434"/>
        <w:gridCol w:w="1015"/>
      </w:tblGrid>
      <w:tr w14:paraId="08E1A06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733" w:type="dxa"/>
            <w:tcBorders>
              <w:top w:val="single" w:color="000000" w:sz="4" w:space="0"/>
              <w:left w:val="single" w:color="000000" w:sz="4" w:space="0"/>
              <w:bottom w:val="single" w:color="000000" w:sz="4" w:space="0"/>
              <w:right w:val="single" w:color="000000" w:sz="4" w:space="0"/>
            </w:tcBorders>
            <w:noWrap/>
            <w:vAlign w:val="center"/>
          </w:tcPr>
          <w:p w14:paraId="02A0C1DD">
            <w:pPr>
              <w:jc w:val="center"/>
              <w:rPr>
                <w:rFonts w:ascii="仿宋" w:hAnsi="仿宋" w:eastAsia="仿宋"/>
                <w:color w:val="auto"/>
                <w:sz w:val="24"/>
                <w:highlight w:val="none"/>
              </w:rPr>
            </w:pPr>
            <w:r>
              <w:rPr>
                <w:rFonts w:hint="eastAsia" w:ascii="仿宋" w:hAnsi="仿宋" w:eastAsia="仿宋"/>
                <w:color w:val="auto"/>
                <w:sz w:val="24"/>
                <w:highlight w:val="none"/>
              </w:rPr>
              <w:t>序号</w:t>
            </w:r>
          </w:p>
        </w:tc>
        <w:tc>
          <w:tcPr>
            <w:tcW w:w="1624" w:type="dxa"/>
            <w:tcBorders>
              <w:top w:val="single" w:color="000000" w:sz="4" w:space="0"/>
              <w:left w:val="single" w:color="000000" w:sz="4" w:space="0"/>
              <w:bottom w:val="single" w:color="000000" w:sz="4" w:space="0"/>
              <w:right w:val="single" w:color="000000" w:sz="4" w:space="0"/>
            </w:tcBorders>
            <w:noWrap/>
            <w:vAlign w:val="center"/>
          </w:tcPr>
          <w:p w14:paraId="7229A2C4">
            <w:pPr>
              <w:jc w:val="center"/>
              <w:rPr>
                <w:rFonts w:ascii="仿宋" w:hAnsi="仿宋" w:eastAsia="仿宋"/>
                <w:color w:val="auto"/>
                <w:sz w:val="24"/>
                <w:highlight w:val="none"/>
              </w:rPr>
            </w:pPr>
            <w:r>
              <w:rPr>
                <w:rFonts w:hint="eastAsia" w:ascii="仿宋" w:hAnsi="仿宋" w:eastAsia="仿宋"/>
                <w:color w:val="auto"/>
                <w:sz w:val="24"/>
                <w:highlight w:val="none"/>
              </w:rPr>
              <w:t>商务条款</w:t>
            </w:r>
          </w:p>
        </w:tc>
        <w:tc>
          <w:tcPr>
            <w:tcW w:w="3929" w:type="dxa"/>
            <w:tcBorders>
              <w:top w:val="single" w:color="000000" w:sz="4" w:space="0"/>
              <w:left w:val="single" w:color="000000" w:sz="4" w:space="0"/>
              <w:bottom w:val="single" w:color="000000" w:sz="4" w:space="0"/>
              <w:right w:val="single" w:color="000000" w:sz="4" w:space="0"/>
            </w:tcBorders>
            <w:noWrap/>
            <w:vAlign w:val="center"/>
          </w:tcPr>
          <w:p w14:paraId="08DC4407">
            <w:pPr>
              <w:jc w:val="center"/>
              <w:rPr>
                <w:rFonts w:ascii="仿宋" w:hAnsi="仿宋" w:eastAsia="仿宋"/>
                <w:color w:val="auto"/>
                <w:sz w:val="24"/>
                <w:highlight w:val="none"/>
              </w:rPr>
            </w:pPr>
            <w:r>
              <w:rPr>
                <w:rFonts w:hint="eastAsia" w:ascii="仿宋" w:hAnsi="仿宋" w:eastAsia="仿宋"/>
                <w:color w:val="auto"/>
                <w:sz w:val="24"/>
                <w:highlight w:val="none"/>
              </w:rPr>
              <w:t>竞争性磋商文件要求</w:t>
            </w:r>
          </w:p>
        </w:tc>
        <w:tc>
          <w:tcPr>
            <w:tcW w:w="1474" w:type="dxa"/>
            <w:tcBorders>
              <w:top w:val="single" w:color="000000" w:sz="4" w:space="0"/>
              <w:left w:val="single" w:color="000000" w:sz="4" w:space="0"/>
              <w:bottom w:val="single" w:color="000000" w:sz="4" w:space="0"/>
              <w:right w:val="single" w:color="000000" w:sz="4" w:space="0"/>
            </w:tcBorders>
            <w:noWrap/>
            <w:vAlign w:val="center"/>
          </w:tcPr>
          <w:p w14:paraId="4078005D">
            <w:pPr>
              <w:jc w:val="center"/>
              <w:rPr>
                <w:rFonts w:ascii="仿宋" w:hAnsi="仿宋" w:eastAsia="仿宋"/>
                <w:color w:val="auto"/>
                <w:sz w:val="24"/>
                <w:highlight w:val="none"/>
              </w:rPr>
            </w:pPr>
            <w:r>
              <w:rPr>
                <w:rFonts w:hint="eastAsia" w:ascii="仿宋" w:hAnsi="仿宋" w:eastAsia="仿宋"/>
                <w:color w:val="auto"/>
                <w:sz w:val="24"/>
                <w:highlight w:val="none"/>
              </w:rPr>
              <w:t>供应商响应具体情况</w:t>
            </w:r>
          </w:p>
        </w:tc>
        <w:tc>
          <w:tcPr>
            <w:tcW w:w="1433" w:type="dxa"/>
            <w:tcBorders>
              <w:top w:val="single" w:color="000000" w:sz="4" w:space="0"/>
              <w:left w:val="single" w:color="000000" w:sz="4" w:space="0"/>
              <w:bottom w:val="single" w:color="000000" w:sz="4" w:space="0"/>
              <w:right w:val="single" w:color="000000" w:sz="4" w:space="0"/>
            </w:tcBorders>
            <w:noWrap/>
            <w:vAlign w:val="center"/>
          </w:tcPr>
          <w:p w14:paraId="73F79781">
            <w:pPr>
              <w:jc w:val="center"/>
              <w:rPr>
                <w:rFonts w:ascii="仿宋" w:hAnsi="仿宋" w:eastAsia="仿宋"/>
                <w:color w:val="auto"/>
                <w:sz w:val="24"/>
                <w:highlight w:val="none"/>
              </w:rPr>
            </w:pPr>
            <w:r>
              <w:rPr>
                <w:rFonts w:hint="eastAsia" w:ascii="仿宋" w:hAnsi="仿宋" w:eastAsia="仿宋"/>
                <w:color w:val="auto"/>
                <w:sz w:val="24"/>
                <w:highlight w:val="none"/>
              </w:rPr>
              <w:t>结论（正偏离、符合或负偏离）</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6BB863EC">
            <w:pPr>
              <w:jc w:val="center"/>
              <w:rPr>
                <w:rFonts w:ascii="仿宋" w:hAnsi="仿宋" w:eastAsia="仿宋"/>
                <w:color w:val="auto"/>
                <w:sz w:val="24"/>
                <w:highlight w:val="none"/>
              </w:rPr>
            </w:pPr>
            <w:r>
              <w:rPr>
                <w:rFonts w:hint="eastAsia" w:ascii="仿宋" w:hAnsi="仿宋" w:eastAsia="仿宋"/>
                <w:color w:val="auto"/>
                <w:sz w:val="24"/>
                <w:highlight w:val="none"/>
              </w:rPr>
              <w:t>备注</w:t>
            </w:r>
          </w:p>
        </w:tc>
      </w:tr>
      <w:tr w14:paraId="6555F17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733" w:type="dxa"/>
            <w:tcBorders>
              <w:top w:val="single" w:color="000000" w:sz="4" w:space="0"/>
              <w:left w:val="single" w:color="000000" w:sz="4" w:space="0"/>
              <w:bottom w:val="single" w:color="000000" w:sz="4" w:space="0"/>
              <w:right w:val="single" w:color="000000" w:sz="4" w:space="0"/>
            </w:tcBorders>
            <w:noWrap/>
            <w:vAlign w:val="center"/>
          </w:tcPr>
          <w:p w14:paraId="7A96C8B8">
            <w:pPr>
              <w:jc w:val="center"/>
              <w:rPr>
                <w:rFonts w:ascii="仿宋" w:hAnsi="仿宋" w:eastAsia="仿宋"/>
                <w:color w:val="auto"/>
                <w:sz w:val="24"/>
                <w:highlight w:val="none"/>
              </w:rPr>
            </w:pPr>
          </w:p>
        </w:tc>
        <w:tc>
          <w:tcPr>
            <w:tcW w:w="1624" w:type="dxa"/>
            <w:tcBorders>
              <w:top w:val="single" w:color="000000" w:sz="4" w:space="0"/>
              <w:left w:val="single" w:color="000000" w:sz="4" w:space="0"/>
              <w:bottom w:val="single" w:color="000000" w:sz="4" w:space="0"/>
              <w:right w:val="single" w:color="000000" w:sz="4" w:space="0"/>
            </w:tcBorders>
            <w:noWrap/>
            <w:vAlign w:val="center"/>
          </w:tcPr>
          <w:p w14:paraId="3578E9FE">
            <w:pPr>
              <w:jc w:val="center"/>
              <w:rPr>
                <w:rFonts w:ascii="仿宋" w:hAnsi="仿宋" w:eastAsia="仿宋"/>
                <w:color w:val="auto"/>
                <w:sz w:val="24"/>
                <w:highlight w:val="none"/>
              </w:rPr>
            </w:pPr>
            <w:r>
              <w:rPr>
                <w:rFonts w:hint="eastAsia" w:ascii="仿宋" w:hAnsi="仿宋" w:eastAsia="仿宋"/>
                <w:color w:val="auto"/>
                <w:sz w:val="24"/>
                <w:highlight w:val="none"/>
              </w:rPr>
              <w:t>服务期限</w:t>
            </w:r>
          </w:p>
        </w:tc>
        <w:tc>
          <w:tcPr>
            <w:tcW w:w="3929" w:type="dxa"/>
            <w:tcBorders>
              <w:top w:val="single" w:color="000000" w:sz="4" w:space="0"/>
              <w:left w:val="single" w:color="000000" w:sz="4" w:space="0"/>
              <w:bottom w:val="single" w:color="000000" w:sz="4" w:space="0"/>
              <w:right w:val="single" w:color="000000" w:sz="4" w:space="0"/>
            </w:tcBorders>
            <w:noWrap/>
            <w:vAlign w:val="center"/>
          </w:tcPr>
          <w:p w14:paraId="51A4F65D">
            <w:pPr>
              <w:jc w:val="center"/>
              <w:rPr>
                <w:rFonts w:ascii="仿宋" w:hAnsi="仿宋" w:eastAsia="仿宋"/>
                <w:color w:val="auto"/>
                <w:sz w:val="24"/>
                <w:highlight w:val="none"/>
              </w:rPr>
            </w:pPr>
            <w:r>
              <w:rPr>
                <w:rFonts w:hint="eastAsia" w:ascii="仿宋" w:hAnsi="仿宋" w:eastAsia="仿宋"/>
                <w:color w:val="auto"/>
                <w:sz w:val="24"/>
                <w:highlight w:val="none"/>
              </w:rPr>
              <w:t>签订合同后45个工作日，具体时间以采购人通知为准。</w:t>
            </w:r>
          </w:p>
        </w:tc>
        <w:tc>
          <w:tcPr>
            <w:tcW w:w="1474" w:type="dxa"/>
            <w:tcBorders>
              <w:top w:val="single" w:color="000000" w:sz="4" w:space="0"/>
              <w:left w:val="single" w:color="000000" w:sz="4" w:space="0"/>
              <w:bottom w:val="single" w:color="000000" w:sz="4" w:space="0"/>
              <w:right w:val="single" w:color="000000" w:sz="4" w:space="0"/>
            </w:tcBorders>
            <w:noWrap/>
            <w:vAlign w:val="center"/>
          </w:tcPr>
          <w:p w14:paraId="693FF000">
            <w:pPr>
              <w:rPr>
                <w:rFonts w:ascii="仿宋" w:hAnsi="仿宋" w:eastAsia="仿宋"/>
                <w:color w:val="auto"/>
                <w:sz w:val="24"/>
                <w:highlight w:val="none"/>
              </w:rPr>
            </w:pPr>
          </w:p>
        </w:tc>
        <w:tc>
          <w:tcPr>
            <w:tcW w:w="1433" w:type="dxa"/>
            <w:tcBorders>
              <w:top w:val="single" w:color="000000" w:sz="4" w:space="0"/>
              <w:left w:val="single" w:color="000000" w:sz="4" w:space="0"/>
              <w:bottom w:val="single" w:color="000000" w:sz="4" w:space="0"/>
              <w:right w:val="single" w:color="000000" w:sz="4" w:space="0"/>
            </w:tcBorders>
            <w:noWrap/>
            <w:vAlign w:val="center"/>
          </w:tcPr>
          <w:p w14:paraId="55B3713E">
            <w:pPr>
              <w:rPr>
                <w:rFonts w:ascii="仿宋" w:hAnsi="仿宋" w:eastAsia="仿宋"/>
                <w:color w:val="auto"/>
                <w:sz w:val="24"/>
                <w:highlight w:val="none"/>
              </w:rPr>
            </w:pP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0B1FA62A">
            <w:pPr>
              <w:rPr>
                <w:rFonts w:ascii="仿宋" w:hAnsi="仿宋" w:eastAsia="仿宋"/>
                <w:color w:val="auto"/>
                <w:sz w:val="24"/>
                <w:highlight w:val="none"/>
              </w:rPr>
            </w:pPr>
          </w:p>
        </w:tc>
      </w:tr>
      <w:tr w14:paraId="26E0EED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733" w:type="dxa"/>
            <w:tcBorders>
              <w:top w:val="single" w:color="000000" w:sz="4" w:space="0"/>
              <w:left w:val="single" w:color="000000" w:sz="4" w:space="0"/>
              <w:bottom w:val="single" w:color="000000" w:sz="4" w:space="0"/>
              <w:right w:val="single" w:color="000000" w:sz="4" w:space="0"/>
            </w:tcBorders>
            <w:noWrap/>
            <w:vAlign w:val="center"/>
          </w:tcPr>
          <w:p w14:paraId="139423D3">
            <w:pPr>
              <w:jc w:val="center"/>
              <w:rPr>
                <w:rFonts w:ascii="仿宋" w:hAnsi="仿宋" w:eastAsia="仿宋"/>
                <w:color w:val="auto"/>
                <w:sz w:val="24"/>
                <w:highlight w:val="none"/>
              </w:rPr>
            </w:pPr>
          </w:p>
        </w:tc>
        <w:tc>
          <w:tcPr>
            <w:tcW w:w="1624" w:type="dxa"/>
            <w:tcBorders>
              <w:top w:val="single" w:color="000000" w:sz="4" w:space="0"/>
              <w:left w:val="single" w:color="000000" w:sz="4" w:space="0"/>
              <w:bottom w:val="single" w:color="000000" w:sz="4" w:space="0"/>
              <w:right w:val="single" w:color="000000" w:sz="4" w:space="0"/>
            </w:tcBorders>
            <w:noWrap/>
            <w:vAlign w:val="center"/>
          </w:tcPr>
          <w:p w14:paraId="476CEEC1">
            <w:pPr>
              <w:jc w:val="center"/>
              <w:rPr>
                <w:rFonts w:ascii="仿宋" w:hAnsi="仿宋" w:eastAsia="仿宋"/>
                <w:color w:val="auto"/>
                <w:sz w:val="24"/>
                <w:highlight w:val="none"/>
              </w:rPr>
            </w:pPr>
            <w:r>
              <w:rPr>
                <w:rFonts w:hint="eastAsia" w:ascii="仿宋" w:hAnsi="仿宋" w:eastAsia="仿宋"/>
                <w:color w:val="auto"/>
                <w:sz w:val="24"/>
                <w:highlight w:val="none"/>
              </w:rPr>
              <w:t>地点</w:t>
            </w:r>
          </w:p>
        </w:tc>
        <w:tc>
          <w:tcPr>
            <w:tcW w:w="3929" w:type="dxa"/>
            <w:tcBorders>
              <w:top w:val="single" w:color="000000" w:sz="4" w:space="0"/>
              <w:left w:val="single" w:color="000000" w:sz="4" w:space="0"/>
              <w:bottom w:val="single" w:color="000000" w:sz="4" w:space="0"/>
              <w:right w:val="single" w:color="000000" w:sz="4" w:space="0"/>
            </w:tcBorders>
            <w:noWrap/>
            <w:vAlign w:val="center"/>
          </w:tcPr>
          <w:p w14:paraId="08D6B9B9">
            <w:pPr>
              <w:jc w:val="center"/>
              <w:rPr>
                <w:rFonts w:ascii="仿宋" w:hAnsi="仿宋" w:eastAsia="仿宋"/>
                <w:color w:val="auto"/>
                <w:sz w:val="24"/>
                <w:highlight w:val="none"/>
              </w:rPr>
            </w:pPr>
            <w:r>
              <w:rPr>
                <w:rFonts w:hint="eastAsia" w:ascii="仿宋" w:hAnsi="仿宋" w:eastAsia="仿宋"/>
                <w:color w:val="auto"/>
                <w:sz w:val="24"/>
                <w:highlight w:val="none"/>
              </w:rPr>
              <w:t>如皋市</w:t>
            </w:r>
          </w:p>
        </w:tc>
        <w:tc>
          <w:tcPr>
            <w:tcW w:w="1474" w:type="dxa"/>
            <w:tcBorders>
              <w:top w:val="single" w:color="000000" w:sz="4" w:space="0"/>
              <w:left w:val="single" w:color="000000" w:sz="4" w:space="0"/>
              <w:bottom w:val="single" w:color="000000" w:sz="4" w:space="0"/>
              <w:right w:val="single" w:color="000000" w:sz="4" w:space="0"/>
            </w:tcBorders>
            <w:noWrap/>
            <w:vAlign w:val="center"/>
          </w:tcPr>
          <w:p w14:paraId="429EF0F9">
            <w:pPr>
              <w:rPr>
                <w:rFonts w:ascii="仿宋" w:hAnsi="仿宋" w:eastAsia="仿宋"/>
                <w:color w:val="auto"/>
                <w:sz w:val="24"/>
                <w:highlight w:val="none"/>
              </w:rPr>
            </w:pPr>
          </w:p>
        </w:tc>
        <w:tc>
          <w:tcPr>
            <w:tcW w:w="1433" w:type="dxa"/>
            <w:tcBorders>
              <w:top w:val="single" w:color="000000" w:sz="4" w:space="0"/>
              <w:left w:val="single" w:color="000000" w:sz="4" w:space="0"/>
              <w:bottom w:val="single" w:color="000000" w:sz="4" w:space="0"/>
              <w:right w:val="single" w:color="000000" w:sz="4" w:space="0"/>
            </w:tcBorders>
            <w:noWrap/>
            <w:vAlign w:val="center"/>
          </w:tcPr>
          <w:p w14:paraId="797152ED">
            <w:pPr>
              <w:rPr>
                <w:rFonts w:ascii="仿宋" w:hAnsi="仿宋" w:eastAsia="仿宋"/>
                <w:color w:val="auto"/>
                <w:sz w:val="24"/>
                <w:highlight w:val="none"/>
              </w:rPr>
            </w:pP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349A2891">
            <w:pPr>
              <w:rPr>
                <w:rFonts w:ascii="仿宋" w:hAnsi="仿宋" w:eastAsia="仿宋"/>
                <w:color w:val="auto"/>
                <w:sz w:val="24"/>
                <w:highlight w:val="none"/>
              </w:rPr>
            </w:pPr>
          </w:p>
        </w:tc>
      </w:tr>
      <w:tr w14:paraId="00E5AC4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733" w:type="dxa"/>
            <w:tcBorders>
              <w:top w:val="single" w:color="000000" w:sz="4" w:space="0"/>
              <w:left w:val="single" w:color="000000" w:sz="4" w:space="0"/>
              <w:bottom w:val="single" w:color="000000" w:sz="4" w:space="0"/>
              <w:right w:val="single" w:color="000000" w:sz="4" w:space="0"/>
            </w:tcBorders>
            <w:noWrap/>
            <w:vAlign w:val="center"/>
          </w:tcPr>
          <w:p w14:paraId="2E9A8500">
            <w:pPr>
              <w:jc w:val="center"/>
              <w:rPr>
                <w:rFonts w:ascii="仿宋" w:hAnsi="仿宋" w:eastAsia="仿宋"/>
                <w:color w:val="auto"/>
                <w:sz w:val="24"/>
                <w:highlight w:val="none"/>
              </w:rPr>
            </w:pPr>
          </w:p>
        </w:tc>
        <w:tc>
          <w:tcPr>
            <w:tcW w:w="1624" w:type="dxa"/>
            <w:tcBorders>
              <w:top w:val="single" w:color="000000" w:sz="4" w:space="0"/>
              <w:left w:val="single" w:color="000000" w:sz="4" w:space="0"/>
              <w:bottom w:val="single" w:color="000000" w:sz="4" w:space="0"/>
              <w:right w:val="single" w:color="000000" w:sz="4" w:space="0"/>
            </w:tcBorders>
            <w:noWrap/>
            <w:vAlign w:val="center"/>
          </w:tcPr>
          <w:p w14:paraId="3A8572F2">
            <w:pPr>
              <w:jc w:val="center"/>
              <w:rPr>
                <w:rFonts w:ascii="仿宋" w:hAnsi="仿宋" w:eastAsia="仿宋"/>
                <w:color w:val="auto"/>
                <w:sz w:val="24"/>
                <w:highlight w:val="none"/>
              </w:rPr>
            </w:pPr>
            <w:r>
              <w:rPr>
                <w:rFonts w:hint="eastAsia" w:ascii="仿宋" w:hAnsi="仿宋" w:eastAsia="仿宋"/>
                <w:color w:val="auto"/>
                <w:sz w:val="24"/>
                <w:highlight w:val="none"/>
              </w:rPr>
              <w:t>考核方案</w:t>
            </w:r>
          </w:p>
        </w:tc>
        <w:tc>
          <w:tcPr>
            <w:tcW w:w="3929" w:type="dxa"/>
            <w:tcBorders>
              <w:top w:val="single" w:color="000000" w:sz="4" w:space="0"/>
              <w:left w:val="single" w:color="000000" w:sz="4" w:space="0"/>
              <w:bottom w:val="single" w:color="000000" w:sz="4" w:space="0"/>
              <w:right w:val="single" w:color="000000" w:sz="4" w:space="0"/>
            </w:tcBorders>
            <w:noWrap/>
            <w:vAlign w:val="center"/>
          </w:tcPr>
          <w:p w14:paraId="74350DE5">
            <w:pPr>
              <w:jc w:val="center"/>
              <w:rPr>
                <w:rFonts w:ascii="仿宋" w:hAnsi="仿宋" w:eastAsia="仿宋"/>
                <w:color w:val="auto"/>
                <w:sz w:val="24"/>
                <w:highlight w:val="none"/>
              </w:rPr>
            </w:pPr>
            <w:r>
              <w:rPr>
                <w:rFonts w:hint="eastAsia" w:ascii="仿宋" w:hAnsi="仿宋" w:eastAsia="仿宋"/>
                <w:color w:val="auto"/>
                <w:sz w:val="24"/>
                <w:highlight w:val="none"/>
              </w:rPr>
              <w:t>在接到成交供应商以书面形式提出验收申请后，在10个工作日内及时组织相关专业技术人员共同参与验收，并出具验收报告，作为支付货款的依据。</w:t>
            </w:r>
          </w:p>
        </w:tc>
        <w:tc>
          <w:tcPr>
            <w:tcW w:w="1474" w:type="dxa"/>
            <w:tcBorders>
              <w:top w:val="single" w:color="000000" w:sz="4" w:space="0"/>
              <w:left w:val="single" w:color="000000" w:sz="4" w:space="0"/>
              <w:bottom w:val="single" w:color="000000" w:sz="4" w:space="0"/>
              <w:right w:val="single" w:color="000000" w:sz="4" w:space="0"/>
            </w:tcBorders>
            <w:noWrap/>
            <w:vAlign w:val="center"/>
          </w:tcPr>
          <w:p w14:paraId="04167580">
            <w:pPr>
              <w:rPr>
                <w:rFonts w:ascii="仿宋" w:hAnsi="仿宋" w:eastAsia="仿宋"/>
                <w:color w:val="auto"/>
                <w:sz w:val="24"/>
                <w:highlight w:val="none"/>
              </w:rPr>
            </w:pPr>
          </w:p>
        </w:tc>
        <w:tc>
          <w:tcPr>
            <w:tcW w:w="1433" w:type="dxa"/>
            <w:tcBorders>
              <w:top w:val="single" w:color="000000" w:sz="4" w:space="0"/>
              <w:left w:val="single" w:color="000000" w:sz="4" w:space="0"/>
              <w:bottom w:val="single" w:color="000000" w:sz="4" w:space="0"/>
              <w:right w:val="single" w:color="000000" w:sz="4" w:space="0"/>
            </w:tcBorders>
            <w:noWrap/>
            <w:vAlign w:val="center"/>
          </w:tcPr>
          <w:p w14:paraId="15D103E3">
            <w:pPr>
              <w:rPr>
                <w:rFonts w:ascii="仿宋" w:hAnsi="仿宋" w:eastAsia="仿宋"/>
                <w:color w:val="auto"/>
                <w:sz w:val="24"/>
                <w:highlight w:val="none"/>
              </w:rPr>
            </w:pP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69CFA3DD">
            <w:pPr>
              <w:rPr>
                <w:rFonts w:ascii="仿宋" w:hAnsi="仿宋" w:eastAsia="仿宋"/>
                <w:color w:val="auto"/>
                <w:sz w:val="24"/>
                <w:highlight w:val="none"/>
              </w:rPr>
            </w:pPr>
          </w:p>
        </w:tc>
      </w:tr>
      <w:tr w14:paraId="4AE3F9E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733" w:type="dxa"/>
            <w:tcBorders>
              <w:top w:val="single" w:color="000000" w:sz="4" w:space="0"/>
              <w:left w:val="single" w:color="000000" w:sz="4" w:space="0"/>
              <w:bottom w:val="single" w:color="000000" w:sz="4" w:space="0"/>
              <w:right w:val="single" w:color="000000" w:sz="4" w:space="0"/>
            </w:tcBorders>
            <w:noWrap/>
            <w:vAlign w:val="center"/>
          </w:tcPr>
          <w:p w14:paraId="6D478FD7">
            <w:pPr>
              <w:jc w:val="center"/>
              <w:rPr>
                <w:rFonts w:ascii="仿宋" w:hAnsi="仿宋" w:eastAsia="仿宋"/>
                <w:color w:val="auto"/>
                <w:sz w:val="24"/>
                <w:highlight w:val="none"/>
              </w:rPr>
            </w:pPr>
          </w:p>
        </w:tc>
        <w:tc>
          <w:tcPr>
            <w:tcW w:w="1624" w:type="dxa"/>
            <w:tcBorders>
              <w:top w:val="single" w:color="000000" w:sz="4" w:space="0"/>
              <w:left w:val="single" w:color="000000" w:sz="4" w:space="0"/>
              <w:bottom w:val="single" w:color="000000" w:sz="4" w:space="0"/>
              <w:right w:val="single" w:color="000000" w:sz="4" w:space="0"/>
            </w:tcBorders>
            <w:noWrap/>
            <w:vAlign w:val="center"/>
          </w:tcPr>
          <w:p w14:paraId="39718E62">
            <w:pPr>
              <w:jc w:val="center"/>
              <w:rPr>
                <w:rFonts w:ascii="仿宋" w:hAnsi="仿宋" w:eastAsia="仿宋"/>
                <w:color w:val="auto"/>
                <w:sz w:val="24"/>
                <w:highlight w:val="none"/>
              </w:rPr>
            </w:pPr>
            <w:r>
              <w:rPr>
                <w:rFonts w:hint="eastAsia" w:ascii="仿宋" w:hAnsi="仿宋" w:eastAsia="仿宋"/>
                <w:color w:val="auto"/>
                <w:sz w:val="24"/>
                <w:highlight w:val="none"/>
              </w:rPr>
              <w:t>付款方式</w:t>
            </w:r>
          </w:p>
        </w:tc>
        <w:tc>
          <w:tcPr>
            <w:tcW w:w="3929" w:type="dxa"/>
            <w:tcBorders>
              <w:top w:val="single" w:color="000000" w:sz="4" w:space="0"/>
              <w:left w:val="single" w:color="000000" w:sz="4" w:space="0"/>
              <w:bottom w:val="single" w:color="000000" w:sz="4" w:space="0"/>
              <w:right w:val="single" w:color="000000" w:sz="4" w:space="0"/>
            </w:tcBorders>
            <w:noWrap/>
            <w:vAlign w:val="center"/>
          </w:tcPr>
          <w:p w14:paraId="32ABA2FE">
            <w:pPr>
              <w:jc w:val="center"/>
              <w:rPr>
                <w:rFonts w:ascii="仿宋" w:hAnsi="仿宋" w:eastAsia="仿宋"/>
                <w:color w:val="auto"/>
                <w:sz w:val="24"/>
                <w:highlight w:val="none"/>
              </w:rPr>
            </w:pPr>
            <w:r>
              <w:rPr>
                <w:rFonts w:hint="eastAsia" w:ascii="仿宋" w:hAnsi="仿宋" w:eastAsia="仿宋"/>
                <w:color w:val="auto"/>
                <w:sz w:val="24"/>
                <w:highlight w:val="none"/>
                <w:lang w:val="zh-CN"/>
              </w:rPr>
              <w:t>成交供应商按照要求完成全部技术服务工作且形成《房屋安全鉴定报告》、《</w:t>
            </w:r>
            <w:r>
              <w:rPr>
                <w:rFonts w:hint="eastAsia" w:ascii="仿宋" w:hAnsi="仿宋" w:eastAsia="仿宋"/>
                <w:color w:val="auto"/>
                <w:sz w:val="24"/>
                <w:highlight w:val="none"/>
              </w:rPr>
              <w:t>消防安全评估报告</w:t>
            </w:r>
            <w:r>
              <w:rPr>
                <w:rFonts w:hint="eastAsia" w:ascii="仿宋" w:hAnsi="仿宋" w:eastAsia="仿宋"/>
                <w:color w:val="auto"/>
                <w:sz w:val="24"/>
                <w:highlight w:val="none"/>
                <w:lang w:val="zh-CN"/>
              </w:rPr>
              <w:t>》，经采购人验收合格后支付中标合同金额的100%；支付前，成交供应商均须出具税务部门开具的正式发票。</w:t>
            </w:r>
          </w:p>
        </w:tc>
        <w:tc>
          <w:tcPr>
            <w:tcW w:w="1474" w:type="dxa"/>
            <w:tcBorders>
              <w:top w:val="single" w:color="000000" w:sz="4" w:space="0"/>
              <w:left w:val="single" w:color="000000" w:sz="4" w:space="0"/>
              <w:bottom w:val="single" w:color="000000" w:sz="4" w:space="0"/>
              <w:right w:val="single" w:color="000000" w:sz="4" w:space="0"/>
            </w:tcBorders>
            <w:noWrap/>
            <w:vAlign w:val="center"/>
          </w:tcPr>
          <w:p w14:paraId="790B34EA">
            <w:pPr>
              <w:ind w:left="43"/>
              <w:rPr>
                <w:rFonts w:ascii="仿宋" w:hAnsi="仿宋" w:eastAsia="仿宋"/>
                <w:color w:val="auto"/>
                <w:sz w:val="24"/>
                <w:highlight w:val="none"/>
              </w:rPr>
            </w:pPr>
          </w:p>
        </w:tc>
        <w:tc>
          <w:tcPr>
            <w:tcW w:w="1433" w:type="dxa"/>
            <w:tcBorders>
              <w:top w:val="single" w:color="000000" w:sz="4" w:space="0"/>
              <w:left w:val="single" w:color="000000" w:sz="4" w:space="0"/>
              <w:bottom w:val="single" w:color="000000" w:sz="4" w:space="0"/>
              <w:right w:val="single" w:color="000000" w:sz="4" w:space="0"/>
            </w:tcBorders>
            <w:noWrap/>
            <w:vAlign w:val="center"/>
          </w:tcPr>
          <w:p w14:paraId="4958C222">
            <w:pPr>
              <w:ind w:left="43"/>
              <w:rPr>
                <w:rFonts w:ascii="仿宋" w:hAnsi="仿宋" w:eastAsia="仿宋"/>
                <w:color w:val="auto"/>
                <w:sz w:val="24"/>
                <w:highlight w:val="none"/>
              </w:rPr>
            </w:pP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2CA3C3F9">
            <w:pPr>
              <w:ind w:left="43"/>
              <w:rPr>
                <w:rFonts w:ascii="仿宋" w:hAnsi="仿宋" w:eastAsia="仿宋"/>
                <w:color w:val="auto"/>
                <w:sz w:val="24"/>
                <w:highlight w:val="none"/>
              </w:rPr>
            </w:pPr>
          </w:p>
        </w:tc>
      </w:tr>
      <w:tr w14:paraId="7D8A0F3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733" w:type="dxa"/>
            <w:tcBorders>
              <w:top w:val="single" w:color="000000" w:sz="4" w:space="0"/>
              <w:left w:val="single" w:color="000000" w:sz="4" w:space="0"/>
              <w:bottom w:val="single" w:color="000000" w:sz="4" w:space="0"/>
              <w:right w:val="single" w:color="000000" w:sz="4" w:space="0"/>
            </w:tcBorders>
            <w:noWrap/>
            <w:vAlign w:val="center"/>
          </w:tcPr>
          <w:p w14:paraId="112D7C45">
            <w:pPr>
              <w:jc w:val="center"/>
              <w:rPr>
                <w:rFonts w:ascii="仿宋" w:hAnsi="仿宋" w:eastAsia="仿宋"/>
                <w:color w:val="auto"/>
                <w:sz w:val="24"/>
                <w:highlight w:val="none"/>
              </w:rPr>
            </w:pPr>
          </w:p>
        </w:tc>
        <w:tc>
          <w:tcPr>
            <w:tcW w:w="1624" w:type="dxa"/>
            <w:tcBorders>
              <w:top w:val="single" w:color="000000" w:sz="4" w:space="0"/>
              <w:left w:val="single" w:color="000000" w:sz="4" w:space="0"/>
              <w:bottom w:val="single" w:color="000000" w:sz="4" w:space="0"/>
              <w:right w:val="single" w:color="000000" w:sz="4" w:space="0"/>
            </w:tcBorders>
            <w:noWrap/>
            <w:vAlign w:val="center"/>
          </w:tcPr>
          <w:p w14:paraId="0336638A">
            <w:pPr>
              <w:jc w:val="center"/>
              <w:rPr>
                <w:rFonts w:ascii="仿宋" w:hAnsi="仿宋" w:eastAsia="仿宋"/>
                <w:color w:val="auto"/>
                <w:sz w:val="24"/>
                <w:highlight w:val="none"/>
              </w:rPr>
            </w:pPr>
            <w:r>
              <w:rPr>
                <w:rFonts w:hint="eastAsia" w:ascii="仿宋" w:hAnsi="仿宋" w:eastAsia="仿宋"/>
                <w:color w:val="auto"/>
                <w:sz w:val="24"/>
                <w:highlight w:val="none"/>
              </w:rPr>
              <w:t>响应货币</w:t>
            </w:r>
          </w:p>
        </w:tc>
        <w:tc>
          <w:tcPr>
            <w:tcW w:w="3929" w:type="dxa"/>
            <w:tcBorders>
              <w:top w:val="single" w:color="000000" w:sz="4" w:space="0"/>
              <w:left w:val="single" w:color="000000" w:sz="4" w:space="0"/>
              <w:bottom w:val="single" w:color="000000" w:sz="4" w:space="0"/>
              <w:right w:val="single" w:color="000000" w:sz="4" w:space="0"/>
            </w:tcBorders>
            <w:noWrap/>
            <w:vAlign w:val="center"/>
          </w:tcPr>
          <w:p w14:paraId="1649752D">
            <w:pPr>
              <w:jc w:val="center"/>
              <w:rPr>
                <w:rFonts w:ascii="仿宋" w:hAnsi="仿宋" w:eastAsia="仿宋"/>
                <w:color w:val="auto"/>
                <w:sz w:val="24"/>
                <w:highlight w:val="none"/>
              </w:rPr>
            </w:pPr>
            <w:r>
              <w:rPr>
                <w:rFonts w:hint="eastAsia" w:ascii="仿宋" w:hAnsi="仿宋" w:eastAsia="仿宋"/>
                <w:color w:val="auto"/>
                <w:sz w:val="24"/>
                <w:highlight w:val="none"/>
              </w:rPr>
              <w:t>人民币</w:t>
            </w:r>
          </w:p>
        </w:tc>
        <w:tc>
          <w:tcPr>
            <w:tcW w:w="1474" w:type="dxa"/>
            <w:tcBorders>
              <w:top w:val="single" w:color="000000" w:sz="4" w:space="0"/>
              <w:left w:val="single" w:color="000000" w:sz="4" w:space="0"/>
              <w:bottom w:val="single" w:color="000000" w:sz="4" w:space="0"/>
              <w:right w:val="single" w:color="000000" w:sz="4" w:space="0"/>
            </w:tcBorders>
            <w:noWrap/>
            <w:vAlign w:val="center"/>
          </w:tcPr>
          <w:p w14:paraId="7E123728">
            <w:pPr>
              <w:ind w:left="43"/>
              <w:rPr>
                <w:rFonts w:ascii="仿宋" w:hAnsi="仿宋" w:eastAsia="仿宋"/>
                <w:color w:val="auto"/>
                <w:sz w:val="24"/>
                <w:highlight w:val="none"/>
              </w:rPr>
            </w:pPr>
          </w:p>
        </w:tc>
        <w:tc>
          <w:tcPr>
            <w:tcW w:w="1433" w:type="dxa"/>
            <w:tcBorders>
              <w:top w:val="single" w:color="000000" w:sz="4" w:space="0"/>
              <w:left w:val="single" w:color="000000" w:sz="4" w:space="0"/>
              <w:bottom w:val="single" w:color="000000" w:sz="4" w:space="0"/>
              <w:right w:val="single" w:color="000000" w:sz="4" w:space="0"/>
            </w:tcBorders>
            <w:noWrap/>
            <w:vAlign w:val="center"/>
          </w:tcPr>
          <w:p w14:paraId="0C902A3D">
            <w:pPr>
              <w:ind w:left="43"/>
              <w:rPr>
                <w:rFonts w:ascii="仿宋" w:hAnsi="仿宋" w:eastAsia="仿宋"/>
                <w:color w:val="auto"/>
                <w:sz w:val="24"/>
                <w:highlight w:val="none"/>
              </w:rPr>
            </w:pP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0532FE62">
            <w:pPr>
              <w:ind w:left="43"/>
              <w:rPr>
                <w:rFonts w:ascii="仿宋" w:hAnsi="仿宋" w:eastAsia="仿宋"/>
                <w:color w:val="auto"/>
                <w:sz w:val="24"/>
                <w:highlight w:val="none"/>
              </w:rPr>
            </w:pPr>
          </w:p>
        </w:tc>
      </w:tr>
      <w:tr w14:paraId="35B7FC4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733" w:type="dxa"/>
            <w:tcBorders>
              <w:top w:val="single" w:color="000000" w:sz="4" w:space="0"/>
              <w:left w:val="single" w:color="000000" w:sz="4" w:space="0"/>
              <w:bottom w:val="single" w:color="000000" w:sz="4" w:space="0"/>
              <w:right w:val="single" w:color="000000" w:sz="4" w:space="0"/>
            </w:tcBorders>
            <w:noWrap/>
            <w:vAlign w:val="center"/>
          </w:tcPr>
          <w:p w14:paraId="67CABE53">
            <w:pPr>
              <w:jc w:val="center"/>
              <w:rPr>
                <w:rFonts w:ascii="仿宋" w:hAnsi="仿宋" w:eastAsia="仿宋"/>
                <w:color w:val="auto"/>
                <w:sz w:val="24"/>
                <w:highlight w:val="none"/>
              </w:rPr>
            </w:pPr>
          </w:p>
        </w:tc>
        <w:tc>
          <w:tcPr>
            <w:tcW w:w="1624" w:type="dxa"/>
            <w:tcBorders>
              <w:top w:val="single" w:color="000000" w:sz="4" w:space="0"/>
              <w:left w:val="single" w:color="000000" w:sz="4" w:space="0"/>
              <w:bottom w:val="single" w:color="000000" w:sz="4" w:space="0"/>
              <w:right w:val="single" w:color="000000" w:sz="4" w:space="0"/>
            </w:tcBorders>
            <w:noWrap/>
            <w:vAlign w:val="center"/>
          </w:tcPr>
          <w:p w14:paraId="26F1734C">
            <w:pPr>
              <w:jc w:val="center"/>
              <w:rPr>
                <w:rFonts w:ascii="仿宋" w:hAnsi="仿宋" w:eastAsia="仿宋"/>
                <w:color w:val="auto"/>
                <w:sz w:val="24"/>
                <w:highlight w:val="none"/>
              </w:rPr>
            </w:pPr>
          </w:p>
        </w:tc>
        <w:tc>
          <w:tcPr>
            <w:tcW w:w="3929" w:type="dxa"/>
            <w:tcBorders>
              <w:top w:val="single" w:color="000000" w:sz="4" w:space="0"/>
              <w:left w:val="single" w:color="000000" w:sz="4" w:space="0"/>
              <w:bottom w:val="single" w:color="000000" w:sz="4" w:space="0"/>
              <w:right w:val="single" w:color="000000" w:sz="4" w:space="0"/>
            </w:tcBorders>
            <w:noWrap/>
            <w:vAlign w:val="center"/>
          </w:tcPr>
          <w:p w14:paraId="03B0B9B0">
            <w:pPr>
              <w:jc w:val="center"/>
              <w:rPr>
                <w:rFonts w:ascii="仿宋" w:hAnsi="仿宋" w:eastAsia="仿宋"/>
                <w:color w:val="auto"/>
                <w:sz w:val="24"/>
                <w:highlight w:val="none"/>
              </w:rPr>
            </w:pPr>
          </w:p>
        </w:tc>
        <w:tc>
          <w:tcPr>
            <w:tcW w:w="1474" w:type="dxa"/>
            <w:tcBorders>
              <w:top w:val="single" w:color="000000" w:sz="4" w:space="0"/>
              <w:left w:val="single" w:color="000000" w:sz="4" w:space="0"/>
              <w:bottom w:val="single" w:color="000000" w:sz="4" w:space="0"/>
              <w:right w:val="single" w:color="000000" w:sz="4" w:space="0"/>
            </w:tcBorders>
            <w:noWrap/>
            <w:vAlign w:val="center"/>
          </w:tcPr>
          <w:p w14:paraId="65B1FE12">
            <w:pPr>
              <w:ind w:left="43"/>
              <w:rPr>
                <w:rFonts w:ascii="仿宋" w:hAnsi="仿宋" w:eastAsia="仿宋"/>
                <w:color w:val="auto"/>
                <w:sz w:val="24"/>
                <w:highlight w:val="none"/>
              </w:rPr>
            </w:pPr>
          </w:p>
        </w:tc>
        <w:tc>
          <w:tcPr>
            <w:tcW w:w="1433" w:type="dxa"/>
            <w:tcBorders>
              <w:top w:val="single" w:color="000000" w:sz="4" w:space="0"/>
              <w:left w:val="single" w:color="000000" w:sz="4" w:space="0"/>
              <w:bottom w:val="single" w:color="000000" w:sz="4" w:space="0"/>
              <w:right w:val="single" w:color="000000" w:sz="4" w:space="0"/>
            </w:tcBorders>
            <w:noWrap/>
            <w:vAlign w:val="center"/>
          </w:tcPr>
          <w:p w14:paraId="08130B11">
            <w:pPr>
              <w:ind w:left="43"/>
              <w:rPr>
                <w:rFonts w:ascii="仿宋" w:hAnsi="仿宋" w:eastAsia="仿宋"/>
                <w:color w:val="auto"/>
                <w:sz w:val="24"/>
                <w:highlight w:val="none"/>
              </w:rPr>
            </w:pP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08E9AC03">
            <w:pPr>
              <w:ind w:left="43"/>
              <w:rPr>
                <w:rFonts w:ascii="仿宋" w:hAnsi="仿宋" w:eastAsia="仿宋"/>
                <w:color w:val="auto"/>
                <w:sz w:val="24"/>
                <w:highlight w:val="none"/>
              </w:rPr>
            </w:pPr>
          </w:p>
        </w:tc>
      </w:tr>
    </w:tbl>
    <w:p w14:paraId="6B27E93F">
      <w:pPr>
        <w:rPr>
          <w:rFonts w:ascii="仿宋" w:hAnsi="仿宋" w:eastAsia="仿宋"/>
          <w:color w:val="auto"/>
          <w:szCs w:val="21"/>
          <w:highlight w:val="none"/>
        </w:rPr>
      </w:pPr>
    </w:p>
    <w:p w14:paraId="05AE4E77">
      <w:pPr>
        <w:rPr>
          <w:rFonts w:ascii="仿宋" w:hAnsi="仿宋" w:eastAsia="仿宋"/>
          <w:color w:val="auto"/>
          <w:szCs w:val="21"/>
          <w:highlight w:val="none"/>
        </w:rPr>
      </w:pPr>
      <w:r>
        <w:rPr>
          <w:rFonts w:hint="eastAsia" w:ascii="仿宋" w:hAnsi="仿宋" w:eastAsia="仿宋"/>
          <w:color w:val="auto"/>
          <w:szCs w:val="21"/>
          <w:highlight w:val="none"/>
        </w:rPr>
        <w:t>注：按照竞争性磋商文件要求详细填列，可增减行。</w:t>
      </w:r>
    </w:p>
    <w:p w14:paraId="580DDA52">
      <w:pPr>
        <w:rPr>
          <w:rFonts w:ascii="仿宋" w:hAnsi="仿宋" w:eastAsia="仿宋"/>
          <w:color w:val="auto"/>
          <w:sz w:val="24"/>
          <w:highlight w:val="none"/>
        </w:rPr>
      </w:pPr>
    </w:p>
    <w:p w14:paraId="5A58CD26">
      <w:pPr>
        <w:ind w:firstLine="560"/>
        <w:rPr>
          <w:rFonts w:ascii="仿宋" w:hAnsi="仿宋" w:eastAsia="仿宋"/>
          <w:bCs/>
          <w:color w:val="auto"/>
          <w:sz w:val="28"/>
          <w:szCs w:val="28"/>
          <w:highlight w:val="none"/>
        </w:rPr>
      </w:pPr>
      <w:r>
        <w:rPr>
          <w:rFonts w:hint="eastAsia" w:ascii="仿宋" w:hAnsi="仿宋" w:eastAsia="仿宋"/>
          <w:color w:val="auto"/>
          <w:sz w:val="28"/>
          <w:szCs w:val="28"/>
          <w:highlight w:val="none"/>
        </w:rPr>
        <w:t>（三）竞争性磋商文件规定提交的其他材料</w:t>
      </w:r>
    </w:p>
    <w:p w14:paraId="07571DAC">
      <w:pPr>
        <w:widowControl/>
        <w:jc w:val="left"/>
        <w:rPr>
          <w:rFonts w:ascii="黑体" w:hAnsi="黑体" w:eastAsia="黑体"/>
          <w:color w:val="auto"/>
          <w:sz w:val="28"/>
          <w:szCs w:val="28"/>
          <w:highlight w:val="none"/>
        </w:rPr>
      </w:pPr>
    </w:p>
    <w:p w14:paraId="0A602D7A">
      <w:pPr>
        <w:widowControl/>
        <w:jc w:val="left"/>
        <w:rPr>
          <w:rFonts w:ascii="黑体" w:hAnsi="黑体" w:eastAsia="黑体"/>
          <w:color w:val="auto"/>
          <w:sz w:val="28"/>
          <w:szCs w:val="28"/>
          <w:highlight w:val="none"/>
        </w:rPr>
      </w:pPr>
    </w:p>
    <w:p w14:paraId="2D0F94AB">
      <w:pPr>
        <w:widowControl/>
        <w:jc w:val="left"/>
        <w:rPr>
          <w:rFonts w:ascii="黑体" w:hAnsi="黑体" w:eastAsia="黑体"/>
          <w:color w:val="auto"/>
          <w:sz w:val="28"/>
          <w:szCs w:val="28"/>
          <w:highlight w:val="none"/>
        </w:rPr>
      </w:pPr>
    </w:p>
    <w:p w14:paraId="342F6CE3">
      <w:pPr>
        <w:widowControl/>
        <w:jc w:val="left"/>
        <w:rPr>
          <w:rFonts w:ascii="黑体" w:hAnsi="黑体" w:eastAsia="黑体"/>
          <w:color w:val="auto"/>
          <w:sz w:val="28"/>
          <w:szCs w:val="28"/>
          <w:highlight w:val="none"/>
        </w:rPr>
      </w:pPr>
    </w:p>
    <w:p w14:paraId="0709D4BD">
      <w:pPr>
        <w:widowControl/>
        <w:jc w:val="left"/>
        <w:rPr>
          <w:rFonts w:ascii="黑体" w:hAnsi="黑体" w:eastAsia="黑体"/>
          <w:color w:val="auto"/>
          <w:sz w:val="28"/>
          <w:szCs w:val="28"/>
          <w:highlight w:val="none"/>
        </w:rPr>
      </w:pPr>
    </w:p>
    <w:p w14:paraId="5224CDBB">
      <w:pPr>
        <w:widowControl/>
        <w:jc w:val="left"/>
        <w:rPr>
          <w:rFonts w:ascii="黑体" w:hAnsi="黑体" w:eastAsia="黑体"/>
          <w:color w:val="auto"/>
          <w:sz w:val="28"/>
          <w:szCs w:val="28"/>
          <w:highlight w:val="none"/>
        </w:rPr>
      </w:pPr>
    </w:p>
    <w:p w14:paraId="6EC9CBDE">
      <w:pPr>
        <w:widowControl/>
        <w:jc w:val="left"/>
        <w:rPr>
          <w:rFonts w:ascii="黑体" w:hAnsi="黑体" w:eastAsia="黑体"/>
          <w:color w:val="auto"/>
          <w:sz w:val="28"/>
          <w:szCs w:val="28"/>
          <w:highlight w:val="none"/>
        </w:rPr>
      </w:pPr>
    </w:p>
    <w:p w14:paraId="7E57F5EC">
      <w:pPr>
        <w:widowControl/>
        <w:jc w:val="left"/>
        <w:rPr>
          <w:rFonts w:ascii="黑体" w:hAnsi="黑体" w:eastAsia="黑体"/>
          <w:color w:val="auto"/>
          <w:sz w:val="28"/>
          <w:szCs w:val="28"/>
          <w:highlight w:val="none"/>
        </w:rPr>
      </w:pPr>
    </w:p>
    <w:p w14:paraId="366A8BC9">
      <w:pPr>
        <w:widowControl/>
        <w:jc w:val="left"/>
        <w:rPr>
          <w:rFonts w:ascii="黑体" w:hAnsi="黑体" w:eastAsia="黑体"/>
          <w:color w:val="auto"/>
          <w:sz w:val="28"/>
          <w:szCs w:val="28"/>
          <w:highlight w:val="none"/>
        </w:rPr>
      </w:pPr>
    </w:p>
    <w:p w14:paraId="0C062992">
      <w:pPr>
        <w:widowControl/>
        <w:jc w:val="left"/>
        <w:rPr>
          <w:rFonts w:ascii="黑体" w:hAnsi="黑体" w:eastAsia="黑体"/>
          <w:color w:val="auto"/>
          <w:sz w:val="28"/>
          <w:szCs w:val="28"/>
          <w:highlight w:val="none"/>
        </w:rPr>
      </w:pPr>
    </w:p>
    <w:p w14:paraId="6B5018CD">
      <w:pPr>
        <w:widowControl/>
        <w:jc w:val="left"/>
        <w:rPr>
          <w:rFonts w:ascii="黑体" w:hAnsi="黑体" w:eastAsia="黑体"/>
          <w:color w:val="auto"/>
          <w:sz w:val="28"/>
          <w:szCs w:val="28"/>
          <w:highlight w:val="none"/>
        </w:rPr>
      </w:pPr>
    </w:p>
    <w:p w14:paraId="36BBBA5B">
      <w:pPr>
        <w:widowControl/>
        <w:jc w:val="left"/>
        <w:rPr>
          <w:rFonts w:ascii="黑体" w:hAnsi="黑体" w:eastAsia="黑体"/>
          <w:color w:val="auto"/>
          <w:sz w:val="28"/>
          <w:szCs w:val="28"/>
          <w:highlight w:val="none"/>
        </w:rPr>
      </w:pPr>
    </w:p>
    <w:p w14:paraId="04A4530E">
      <w:pPr>
        <w:widowControl/>
        <w:jc w:val="left"/>
        <w:rPr>
          <w:rFonts w:ascii="黑体" w:hAnsi="黑体" w:eastAsia="黑体"/>
          <w:color w:val="auto"/>
          <w:sz w:val="28"/>
          <w:szCs w:val="28"/>
          <w:highlight w:val="none"/>
        </w:rPr>
      </w:pPr>
    </w:p>
    <w:p w14:paraId="0B580E73">
      <w:pPr>
        <w:widowControl/>
        <w:jc w:val="left"/>
        <w:rPr>
          <w:rFonts w:ascii="黑体" w:hAnsi="黑体" w:eastAsia="黑体"/>
          <w:color w:val="auto"/>
          <w:sz w:val="28"/>
          <w:szCs w:val="28"/>
          <w:highlight w:val="none"/>
        </w:rPr>
      </w:pPr>
    </w:p>
    <w:p w14:paraId="02EE69C4">
      <w:pPr>
        <w:widowControl/>
        <w:jc w:val="left"/>
        <w:rPr>
          <w:rFonts w:ascii="黑体" w:hAnsi="黑体" w:eastAsia="黑体"/>
          <w:color w:val="auto"/>
          <w:sz w:val="28"/>
          <w:szCs w:val="28"/>
          <w:highlight w:val="none"/>
        </w:rPr>
      </w:pPr>
    </w:p>
    <w:p w14:paraId="453C24CB">
      <w:pPr>
        <w:widowControl/>
        <w:jc w:val="left"/>
        <w:rPr>
          <w:rFonts w:ascii="黑体" w:hAnsi="黑体" w:eastAsia="黑体"/>
          <w:color w:val="auto"/>
          <w:sz w:val="28"/>
          <w:szCs w:val="28"/>
          <w:highlight w:val="none"/>
        </w:rPr>
      </w:pPr>
    </w:p>
    <w:p w14:paraId="73F987C7">
      <w:pPr>
        <w:ind w:firstLine="560"/>
        <w:rPr>
          <w:rFonts w:ascii="黑体" w:hAnsi="黑体" w:eastAsia="黑体"/>
          <w:bCs/>
          <w:color w:val="auto"/>
          <w:sz w:val="28"/>
          <w:szCs w:val="28"/>
          <w:highlight w:val="none"/>
        </w:rPr>
      </w:pPr>
      <w:r>
        <w:rPr>
          <w:rFonts w:hint="eastAsia" w:ascii="黑体" w:hAnsi="黑体" w:eastAsia="黑体"/>
          <w:color w:val="auto"/>
          <w:sz w:val="28"/>
          <w:szCs w:val="28"/>
          <w:highlight w:val="none"/>
        </w:rPr>
        <w:t>三、报价文件</w:t>
      </w:r>
    </w:p>
    <w:p w14:paraId="09E92B11">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（一）竞争性磋商响应报价表</w:t>
      </w:r>
    </w:p>
    <w:p w14:paraId="7FB58EF0">
      <w:pPr>
        <w:ind w:firstLine="3040"/>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竞争性磋商响应报价表</w:t>
      </w:r>
    </w:p>
    <w:tbl>
      <w:tblPr>
        <w:tblStyle w:val="11"/>
        <w:tblW w:w="9180" w:type="dxa"/>
        <w:jc w:val="center"/>
        <w:tblLayout w:type="fixed"/>
        <w:tblCellMar>
          <w:top w:w="0" w:type="dxa"/>
          <w:left w:w="108" w:type="dxa"/>
          <w:bottom w:w="0" w:type="dxa"/>
          <w:right w:w="108" w:type="dxa"/>
        </w:tblCellMar>
      </w:tblPr>
      <w:tblGrid>
        <w:gridCol w:w="95"/>
        <w:gridCol w:w="4087"/>
        <w:gridCol w:w="4720"/>
        <w:gridCol w:w="278"/>
      </w:tblGrid>
      <w:tr w14:paraId="775924F5">
        <w:tblPrEx>
          <w:tblCellMar>
            <w:top w:w="0" w:type="dxa"/>
            <w:left w:w="108" w:type="dxa"/>
            <w:bottom w:w="0" w:type="dxa"/>
            <w:right w:w="108" w:type="dxa"/>
          </w:tblCellMar>
        </w:tblPrEx>
        <w:trPr>
          <w:trHeight w:val="436" w:hRule="atLeast"/>
          <w:jc w:val="center"/>
        </w:trPr>
        <w:tc>
          <w:tcPr>
            <w:tcW w:w="9180" w:type="dxa"/>
            <w:gridSpan w:val="4"/>
            <w:tcBorders>
              <w:top w:val="nil"/>
              <w:left w:val="nil"/>
              <w:bottom w:val="nil"/>
              <w:right w:val="nil"/>
            </w:tcBorders>
            <w:noWrap/>
            <w:vAlign w:val="center"/>
          </w:tcPr>
          <w:p w14:paraId="4890E6DB">
            <w:pPr>
              <w:widowControl/>
              <w:jc w:val="left"/>
              <w:rPr>
                <w:rFonts w:ascii="仿宋" w:hAnsi="仿宋" w:eastAsia="仿宋" w:cs="宋体"/>
                <w:color w:val="auto"/>
                <w:sz w:val="24"/>
                <w:highlight w:val="none"/>
              </w:rPr>
            </w:pPr>
            <w:r>
              <w:rPr>
                <w:rFonts w:hint="eastAsia" w:ascii="仿宋" w:hAnsi="仿宋" w:eastAsia="仿宋" w:cs="宋体"/>
                <w:color w:val="auto"/>
                <w:sz w:val="24"/>
                <w:highlight w:val="none"/>
              </w:rPr>
              <w:t>供应商名称（加盖公章）：</w:t>
            </w:r>
          </w:p>
        </w:tc>
      </w:tr>
      <w:tr w14:paraId="33455097">
        <w:tblPrEx>
          <w:tblCellMar>
            <w:top w:w="0" w:type="dxa"/>
            <w:left w:w="108" w:type="dxa"/>
            <w:bottom w:w="0" w:type="dxa"/>
            <w:right w:w="108" w:type="dxa"/>
          </w:tblCellMar>
        </w:tblPrEx>
        <w:trPr>
          <w:trHeight w:val="436" w:hRule="atLeast"/>
          <w:jc w:val="center"/>
        </w:trPr>
        <w:tc>
          <w:tcPr>
            <w:tcW w:w="9180" w:type="dxa"/>
            <w:gridSpan w:val="4"/>
            <w:tcBorders>
              <w:top w:val="nil"/>
              <w:left w:val="nil"/>
              <w:bottom w:val="nil"/>
              <w:right w:val="nil"/>
            </w:tcBorders>
            <w:noWrap/>
            <w:vAlign w:val="center"/>
          </w:tcPr>
          <w:p w14:paraId="0B4FF963">
            <w:pPr>
              <w:widowControl/>
              <w:jc w:val="left"/>
              <w:rPr>
                <w:rFonts w:ascii="仿宋" w:hAnsi="仿宋" w:eastAsia="仿宋" w:cs="宋体"/>
                <w:color w:val="auto"/>
                <w:sz w:val="24"/>
                <w:highlight w:val="none"/>
              </w:rPr>
            </w:pPr>
            <w:r>
              <w:rPr>
                <w:rFonts w:hint="eastAsia" w:ascii="仿宋" w:hAnsi="仿宋" w:eastAsia="仿宋" w:cs="宋体"/>
                <w:color w:val="auto"/>
                <w:sz w:val="24"/>
                <w:highlight w:val="none"/>
              </w:rPr>
              <w:t>项目名称：</w:t>
            </w:r>
          </w:p>
        </w:tc>
      </w:tr>
      <w:tr w14:paraId="40ADDD2D">
        <w:tblPrEx>
          <w:tblCellMar>
            <w:top w:w="0" w:type="dxa"/>
            <w:left w:w="108" w:type="dxa"/>
            <w:bottom w:w="0" w:type="dxa"/>
            <w:right w:w="108" w:type="dxa"/>
          </w:tblCellMar>
        </w:tblPrEx>
        <w:trPr>
          <w:trHeight w:val="420" w:hRule="atLeast"/>
          <w:jc w:val="center"/>
        </w:trPr>
        <w:tc>
          <w:tcPr>
            <w:tcW w:w="9180" w:type="dxa"/>
            <w:gridSpan w:val="4"/>
            <w:tcBorders>
              <w:top w:val="nil"/>
              <w:left w:val="nil"/>
              <w:bottom w:val="nil"/>
              <w:right w:val="nil"/>
            </w:tcBorders>
            <w:noWrap/>
            <w:vAlign w:val="center"/>
          </w:tcPr>
          <w:p w14:paraId="0C43A068">
            <w:pPr>
              <w:widowControl/>
              <w:jc w:val="left"/>
              <w:rPr>
                <w:rFonts w:ascii="仿宋" w:hAnsi="仿宋" w:eastAsia="仿宋" w:cs="宋体"/>
                <w:color w:val="auto"/>
                <w:sz w:val="24"/>
                <w:highlight w:val="none"/>
              </w:rPr>
            </w:pPr>
            <w:r>
              <w:rPr>
                <w:rFonts w:hint="eastAsia" w:ascii="仿宋" w:hAnsi="仿宋" w:eastAsia="仿宋" w:cs="宋体"/>
                <w:color w:val="auto"/>
                <w:sz w:val="24"/>
                <w:highlight w:val="none"/>
              </w:rPr>
              <w:t>项目编号：</w:t>
            </w:r>
          </w:p>
        </w:tc>
      </w:tr>
      <w:tr w14:paraId="4DC93FE3">
        <w:tblPrEx>
          <w:tblCellMar>
            <w:top w:w="0" w:type="dxa"/>
            <w:left w:w="108" w:type="dxa"/>
            <w:bottom w:w="0" w:type="dxa"/>
            <w:right w:w="108" w:type="dxa"/>
          </w:tblCellMar>
        </w:tblPrEx>
        <w:trPr>
          <w:gridBefore w:val="1"/>
          <w:gridAfter w:val="1"/>
          <w:wBefore w:w="95" w:type="dxa"/>
          <w:wAfter w:w="278" w:type="dxa"/>
          <w:trHeight w:val="837" w:hRule="atLeast"/>
          <w:jc w:val="center"/>
        </w:trPr>
        <w:tc>
          <w:tcPr>
            <w:tcW w:w="4087" w:type="dxa"/>
            <w:vMerge w:val="restart"/>
            <w:tcBorders>
              <w:top w:val="single" w:color="auto" w:sz="4" w:space="0"/>
              <w:left w:val="single" w:color="auto" w:sz="4" w:space="0"/>
              <w:bottom w:val="single" w:color="auto" w:sz="4" w:space="0"/>
              <w:right w:val="single" w:color="auto" w:sz="4" w:space="0"/>
            </w:tcBorders>
            <w:noWrap/>
            <w:vAlign w:val="center"/>
          </w:tcPr>
          <w:p w14:paraId="49CFE5C4">
            <w:pPr>
              <w:widowControl/>
              <w:jc w:val="center"/>
              <w:rPr>
                <w:rFonts w:ascii="仿宋" w:hAnsi="仿宋" w:eastAsia="仿宋" w:cs="宋体"/>
                <w:color w:val="auto"/>
                <w:sz w:val="24"/>
                <w:highlight w:val="none"/>
              </w:rPr>
            </w:pPr>
            <w:r>
              <w:rPr>
                <w:rFonts w:hint="eastAsia" w:ascii="仿宋" w:hAnsi="仿宋" w:eastAsia="仿宋" w:cs="宋体"/>
                <w:color w:val="auto"/>
                <w:sz w:val="24"/>
                <w:highlight w:val="none"/>
              </w:rPr>
              <w:t>竞争性磋商响应报价</w:t>
            </w:r>
          </w:p>
        </w:tc>
        <w:tc>
          <w:tcPr>
            <w:tcW w:w="4720" w:type="dxa"/>
            <w:tcBorders>
              <w:top w:val="single" w:color="auto" w:sz="4" w:space="0"/>
              <w:left w:val="nil"/>
              <w:bottom w:val="single" w:color="auto" w:sz="4" w:space="0"/>
              <w:right w:val="single" w:color="auto" w:sz="4" w:space="0"/>
            </w:tcBorders>
            <w:noWrap/>
            <w:vAlign w:val="center"/>
          </w:tcPr>
          <w:p w14:paraId="2EDDA901">
            <w:pPr>
              <w:widowControl/>
              <w:jc w:val="left"/>
              <w:rPr>
                <w:rFonts w:ascii="仿宋" w:hAnsi="仿宋" w:eastAsia="仿宋" w:cs="宋体"/>
                <w:color w:val="auto"/>
                <w:sz w:val="24"/>
                <w:highlight w:val="none"/>
              </w:rPr>
            </w:pPr>
            <w:r>
              <w:rPr>
                <w:rFonts w:hint="eastAsia" w:ascii="仿宋" w:hAnsi="仿宋" w:eastAsia="仿宋" w:cs="宋体"/>
                <w:color w:val="auto"/>
                <w:sz w:val="24"/>
                <w:highlight w:val="none"/>
              </w:rPr>
              <w:t>小写：</w:t>
            </w:r>
          </w:p>
        </w:tc>
      </w:tr>
      <w:tr w14:paraId="6CBE7335">
        <w:tblPrEx>
          <w:tblCellMar>
            <w:top w:w="0" w:type="dxa"/>
            <w:left w:w="108" w:type="dxa"/>
            <w:bottom w:w="0" w:type="dxa"/>
            <w:right w:w="108" w:type="dxa"/>
          </w:tblCellMar>
        </w:tblPrEx>
        <w:trPr>
          <w:gridBefore w:val="1"/>
          <w:gridAfter w:val="1"/>
          <w:wBefore w:w="95" w:type="dxa"/>
          <w:wAfter w:w="278" w:type="dxa"/>
          <w:trHeight w:val="920" w:hRule="atLeast"/>
          <w:jc w:val="center"/>
        </w:trPr>
        <w:tc>
          <w:tcPr>
            <w:tcW w:w="4087" w:type="dxa"/>
            <w:vMerge w:val="continue"/>
            <w:tcBorders>
              <w:top w:val="single" w:color="auto" w:sz="4" w:space="0"/>
              <w:left w:val="single" w:color="auto" w:sz="4" w:space="0"/>
              <w:bottom w:val="single" w:color="auto" w:sz="4" w:space="0"/>
              <w:right w:val="single" w:color="auto" w:sz="4" w:space="0"/>
            </w:tcBorders>
            <w:vAlign w:val="center"/>
          </w:tcPr>
          <w:p w14:paraId="1E405573">
            <w:pPr>
              <w:widowControl/>
              <w:jc w:val="left"/>
              <w:rPr>
                <w:rFonts w:ascii="仿宋" w:hAnsi="仿宋" w:eastAsia="仿宋" w:cs="宋体"/>
                <w:color w:val="auto"/>
                <w:sz w:val="24"/>
                <w:highlight w:val="none"/>
              </w:rPr>
            </w:pPr>
          </w:p>
        </w:tc>
        <w:tc>
          <w:tcPr>
            <w:tcW w:w="4720" w:type="dxa"/>
            <w:tcBorders>
              <w:top w:val="single" w:color="auto" w:sz="4" w:space="0"/>
              <w:left w:val="nil"/>
              <w:bottom w:val="single" w:color="auto" w:sz="4" w:space="0"/>
              <w:right w:val="single" w:color="auto" w:sz="4" w:space="0"/>
            </w:tcBorders>
            <w:noWrap/>
            <w:vAlign w:val="center"/>
          </w:tcPr>
          <w:p w14:paraId="1F990C5D">
            <w:pPr>
              <w:widowControl/>
              <w:jc w:val="left"/>
              <w:rPr>
                <w:rFonts w:ascii="仿宋" w:hAnsi="仿宋" w:eastAsia="仿宋" w:cs="宋体"/>
                <w:color w:val="auto"/>
                <w:sz w:val="24"/>
                <w:highlight w:val="none"/>
              </w:rPr>
            </w:pPr>
            <w:r>
              <w:rPr>
                <w:rFonts w:hint="eastAsia" w:ascii="仿宋" w:hAnsi="仿宋" w:eastAsia="仿宋" w:cs="宋体"/>
                <w:color w:val="auto"/>
                <w:sz w:val="24"/>
                <w:highlight w:val="none"/>
              </w:rPr>
              <w:t>大写：</w:t>
            </w:r>
          </w:p>
        </w:tc>
      </w:tr>
    </w:tbl>
    <w:p w14:paraId="5A31199A">
      <w:pPr>
        <w:ind w:firstLine="560"/>
        <w:rPr>
          <w:rFonts w:ascii="仿宋" w:hAnsi="仿宋" w:eastAsia="仿宋"/>
          <w:bCs/>
          <w:color w:val="auto"/>
          <w:sz w:val="28"/>
          <w:szCs w:val="28"/>
          <w:highlight w:val="none"/>
        </w:rPr>
      </w:pPr>
    </w:p>
    <w:p w14:paraId="7F8D4075">
      <w:pPr>
        <w:ind w:firstLine="560"/>
        <w:rPr>
          <w:rFonts w:ascii="仿宋" w:hAnsi="仿宋" w:eastAsia="仿宋"/>
          <w:bCs/>
          <w:color w:val="auto"/>
          <w:sz w:val="28"/>
          <w:szCs w:val="28"/>
          <w:highlight w:val="none"/>
        </w:rPr>
      </w:pPr>
    </w:p>
    <w:p w14:paraId="4F69BC79">
      <w:pPr>
        <w:ind w:firstLine="560"/>
        <w:rPr>
          <w:rFonts w:ascii="仿宋" w:hAnsi="仿宋" w:eastAsia="仿宋"/>
          <w:bCs/>
          <w:color w:val="auto"/>
          <w:sz w:val="28"/>
          <w:szCs w:val="28"/>
          <w:highlight w:val="none"/>
        </w:rPr>
      </w:pPr>
    </w:p>
    <w:p w14:paraId="527F65B6">
      <w:pPr>
        <w:ind w:firstLine="560"/>
        <w:rPr>
          <w:rFonts w:ascii="仿宋" w:hAnsi="仿宋" w:eastAsia="仿宋"/>
          <w:bCs/>
          <w:color w:val="auto"/>
          <w:sz w:val="28"/>
          <w:szCs w:val="28"/>
          <w:highlight w:val="none"/>
        </w:rPr>
      </w:pPr>
    </w:p>
    <w:p w14:paraId="2AA16214">
      <w:pPr>
        <w:ind w:firstLine="560"/>
        <w:rPr>
          <w:rFonts w:ascii="仿宋" w:hAnsi="仿宋" w:eastAsia="仿宋"/>
          <w:bCs/>
          <w:color w:val="auto"/>
          <w:sz w:val="28"/>
          <w:szCs w:val="28"/>
          <w:highlight w:val="none"/>
        </w:rPr>
      </w:pPr>
    </w:p>
    <w:p w14:paraId="3157B69B">
      <w:pPr>
        <w:ind w:firstLine="560"/>
        <w:rPr>
          <w:rFonts w:ascii="仿宋" w:hAnsi="仿宋" w:eastAsia="仿宋"/>
          <w:bCs/>
          <w:color w:val="auto"/>
          <w:sz w:val="28"/>
          <w:szCs w:val="28"/>
          <w:highlight w:val="none"/>
        </w:rPr>
      </w:pPr>
    </w:p>
    <w:p w14:paraId="217BD5D1">
      <w:pPr>
        <w:ind w:firstLine="560"/>
        <w:rPr>
          <w:rFonts w:ascii="仿宋" w:hAnsi="仿宋" w:eastAsia="仿宋"/>
          <w:bCs/>
          <w:color w:val="auto"/>
          <w:sz w:val="28"/>
          <w:szCs w:val="28"/>
          <w:highlight w:val="none"/>
        </w:rPr>
      </w:pPr>
    </w:p>
    <w:p w14:paraId="5457ABD9">
      <w:pPr>
        <w:ind w:firstLine="560"/>
        <w:rPr>
          <w:rFonts w:ascii="仿宋" w:hAnsi="仿宋" w:eastAsia="仿宋"/>
          <w:bCs/>
          <w:color w:val="auto"/>
          <w:sz w:val="28"/>
          <w:szCs w:val="28"/>
          <w:highlight w:val="none"/>
        </w:rPr>
      </w:pPr>
    </w:p>
    <w:p w14:paraId="64D0CAD5">
      <w:pPr>
        <w:ind w:firstLine="560"/>
        <w:rPr>
          <w:rFonts w:ascii="仿宋" w:hAnsi="仿宋" w:eastAsia="仿宋"/>
          <w:bCs/>
          <w:color w:val="auto"/>
          <w:sz w:val="28"/>
          <w:szCs w:val="28"/>
          <w:highlight w:val="none"/>
        </w:rPr>
      </w:pPr>
    </w:p>
    <w:p w14:paraId="65EA5988">
      <w:pPr>
        <w:ind w:firstLine="560"/>
        <w:rPr>
          <w:rFonts w:ascii="仿宋" w:hAnsi="仿宋" w:eastAsia="仿宋"/>
          <w:bCs/>
          <w:color w:val="auto"/>
          <w:sz w:val="28"/>
          <w:szCs w:val="28"/>
          <w:highlight w:val="none"/>
        </w:rPr>
      </w:pPr>
    </w:p>
    <w:p w14:paraId="1795E556">
      <w:pPr>
        <w:ind w:firstLine="560"/>
        <w:rPr>
          <w:rFonts w:ascii="仿宋" w:hAnsi="仿宋" w:eastAsia="仿宋"/>
          <w:bCs/>
          <w:color w:val="auto"/>
          <w:sz w:val="28"/>
          <w:szCs w:val="28"/>
          <w:highlight w:val="none"/>
        </w:rPr>
      </w:pPr>
    </w:p>
    <w:p w14:paraId="20FB06EB">
      <w:pPr>
        <w:ind w:firstLine="560"/>
        <w:rPr>
          <w:rFonts w:ascii="仿宋" w:hAnsi="仿宋" w:eastAsia="仿宋"/>
          <w:bCs/>
          <w:color w:val="auto"/>
          <w:sz w:val="28"/>
          <w:szCs w:val="28"/>
          <w:highlight w:val="none"/>
        </w:rPr>
      </w:pPr>
    </w:p>
    <w:p w14:paraId="288AA1A9">
      <w:pPr>
        <w:ind w:firstLine="560"/>
        <w:rPr>
          <w:rFonts w:ascii="仿宋" w:hAnsi="仿宋" w:eastAsia="仿宋"/>
          <w:bCs/>
          <w:color w:val="auto"/>
          <w:sz w:val="28"/>
          <w:szCs w:val="28"/>
          <w:highlight w:val="none"/>
        </w:rPr>
      </w:pPr>
    </w:p>
    <w:p w14:paraId="6B58E6EB">
      <w:pPr>
        <w:ind w:firstLine="560"/>
        <w:rPr>
          <w:rFonts w:ascii="仿宋" w:hAnsi="仿宋" w:eastAsia="仿宋"/>
          <w:bCs/>
          <w:color w:val="auto"/>
          <w:sz w:val="28"/>
          <w:szCs w:val="28"/>
          <w:highlight w:val="none"/>
        </w:rPr>
      </w:pPr>
    </w:p>
    <w:p w14:paraId="481B513C">
      <w:pPr>
        <w:ind w:firstLine="560"/>
        <w:rPr>
          <w:rFonts w:ascii="仿宋" w:hAnsi="仿宋" w:eastAsia="仿宋"/>
          <w:bCs/>
          <w:color w:val="auto"/>
          <w:sz w:val="28"/>
          <w:szCs w:val="28"/>
          <w:highlight w:val="none"/>
        </w:rPr>
      </w:pPr>
    </w:p>
    <w:p w14:paraId="51915A7C">
      <w:pPr>
        <w:ind w:firstLine="560"/>
        <w:rPr>
          <w:rFonts w:ascii="仿宋" w:hAnsi="仿宋" w:eastAsia="仿宋"/>
          <w:bCs/>
          <w:color w:val="auto"/>
          <w:sz w:val="28"/>
          <w:szCs w:val="28"/>
          <w:highlight w:val="none"/>
        </w:rPr>
      </w:pPr>
    </w:p>
    <w:p w14:paraId="2308713D">
      <w:pPr>
        <w:ind w:firstLine="560"/>
        <w:rPr>
          <w:rFonts w:ascii="仿宋" w:hAnsi="仿宋" w:eastAsia="仿宋"/>
          <w:bCs/>
          <w:color w:val="auto"/>
          <w:sz w:val="28"/>
          <w:szCs w:val="28"/>
          <w:highlight w:val="none"/>
        </w:rPr>
      </w:pPr>
    </w:p>
    <w:p w14:paraId="77CFF50E">
      <w:pPr>
        <w:ind w:firstLine="560"/>
        <w:rPr>
          <w:rFonts w:ascii="仿宋" w:hAnsi="仿宋" w:eastAsia="仿宋"/>
          <w:bCs/>
          <w:color w:val="auto"/>
          <w:sz w:val="28"/>
          <w:szCs w:val="28"/>
          <w:highlight w:val="none"/>
        </w:rPr>
      </w:pPr>
    </w:p>
    <w:p w14:paraId="69D16550">
      <w:pPr>
        <w:ind w:firstLine="560"/>
        <w:rPr>
          <w:rFonts w:ascii="仿宋" w:hAnsi="仿宋" w:eastAsia="仿宋"/>
          <w:bCs/>
          <w:color w:val="auto"/>
          <w:sz w:val="28"/>
          <w:szCs w:val="28"/>
          <w:highlight w:val="none"/>
        </w:rPr>
      </w:pPr>
    </w:p>
    <w:p w14:paraId="6877EEF7">
      <w:pPr>
        <w:ind w:firstLine="560"/>
        <w:rPr>
          <w:rFonts w:ascii="仿宋" w:hAnsi="仿宋" w:eastAsia="仿宋"/>
          <w:bCs/>
          <w:color w:val="auto"/>
          <w:sz w:val="28"/>
          <w:szCs w:val="28"/>
          <w:highlight w:val="none"/>
        </w:rPr>
      </w:pPr>
    </w:p>
    <w:p w14:paraId="5B95D544">
      <w:pPr>
        <w:ind w:firstLine="560"/>
        <w:rPr>
          <w:rFonts w:ascii="仿宋" w:hAnsi="仿宋" w:eastAsia="仿宋"/>
          <w:bCs/>
          <w:color w:val="auto"/>
          <w:sz w:val="28"/>
          <w:szCs w:val="28"/>
          <w:highlight w:val="none"/>
        </w:rPr>
      </w:pPr>
    </w:p>
    <w:p w14:paraId="6B2F2FA9">
      <w:pPr>
        <w:ind w:firstLine="560"/>
        <w:rPr>
          <w:rFonts w:ascii="仿宋" w:hAnsi="仿宋" w:eastAsia="仿宋"/>
          <w:bCs/>
          <w:color w:val="auto"/>
          <w:sz w:val="28"/>
          <w:szCs w:val="28"/>
          <w:highlight w:val="none"/>
        </w:rPr>
      </w:pPr>
    </w:p>
    <w:p w14:paraId="5271FB60">
      <w:pPr>
        <w:ind w:firstLine="560"/>
        <w:rPr>
          <w:rFonts w:ascii="仿宋" w:hAnsi="仿宋" w:eastAsia="仿宋"/>
          <w:bCs/>
          <w:color w:val="auto"/>
          <w:sz w:val="28"/>
          <w:szCs w:val="28"/>
          <w:highlight w:val="none"/>
        </w:rPr>
      </w:pPr>
    </w:p>
    <w:p w14:paraId="0E8EB138">
      <w:pPr>
        <w:ind w:firstLine="560"/>
        <w:rPr>
          <w:rFonts w:ascii="仿宋" w:hAnsi="仿宋" w:eastAsia="仿宋"/>
          <w:bCs/>
          <w:color w:val="auto"/>
          <w:sz w:val="28"/>
          <w:szCs w:val="28"/>
          <w:highlight w:val="none"/>
        </w:rPr>
      </w:pPr>
    </w:p>
    <w:p w14:paraId="489EA606">
      <w:pPr>
        <w:ind w:firstLine="560"/>
        <w:rPr>
          <w:rFonts w:ascii="仿宋" w:hAnsi="仿宋" w:eastAsia="仿宋"/>
          <w:bCs/>
          <w:color w:val="auto"/>
          <w:sz w:val="28"/>
          <w:szCs w:val="28"/>
          <w:highlight w:val="none"/>
        </w:rPr>
      </w:pPr>
    </w:p>
    <w:p w14:paraId="77DB2BDD">
      <w:pPr>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（二）竞争性磋商响应报价明细表</w:t>
      </w:r>
    </w:p>
    <w:p w14:paraId="73A44328">
      <w:pPr>
        <w:ind w:firstLine="3040" w:firstLineChars="950"/>
        <w:rPr>
          <w:rFonts w:ascii="宋体" w:hAnsi="宋体"/>
          <w:color w:val="auto"/>
          <w:sz w:val="24"/>
          <w:highlight w:val="none"/>
        </w:rPr>
      </w:pPr>
      <w:r>
        <w:rPr>
          <w:rFonts w:hint="eastAsia" w:ascii="方正小标宋简体" w:hAnsi="宋体" w:eastAsia="方正小标宋简体"/>
          <w:color w:val="auto"/>
          <w:sz w:val="32"/>
          <w:szCs w:val="32"/>
          <w:highlight w:val="none"/>
        </w:rPr>
        <w:t>竞争性磋商响应报价明细表</w:t>
      </w:r>
    </w:p>
    <w:p w14:paraId="3F90A08F">
      <w:pPr>
        <w:rPr>
          <w:rFonts w:ascii="宋体" w:hAnsi="宋体"/>
          <w:color w:val="auto"/>
          <w:highlight w:val="none"/>
        </w:rPr>
      </w:pPr>
    </w:p>
    <w:p w14:paraId="5D41C1A7">
      <w:pPr>
        <w:pStyle w:val="6"/>
        <w:rPr>
          <w:rFonts w:ascii="仿宋" w:hAnsi="仿宋" w:eastAsia="仿宋"/>
          <w:color w:val="auto"/>
          <w:szCs w:val="24"/>
          <w:highlight w:val="none"/>
        </w:rPr>
      </w:pPr>
      <w:r>
        <w:rPr>
          <w:rFonts w:hint="eastAsia" w:ascii="仿宋" w:hAnsi="仿宋" w:eastAsia="仿宋"/>
          <w:color w:val="auto"/>
          <w:szCs w:val="24"/>
          <w:highlight w:val="none"/>
        </w:rPr>
        <w:t xml:space="preserve">项目名称：如皋市高新区高层建筑质量安全鉴定和消防安全评估项目 </w:t>
      </w:r>
    </w:p>
    <w:p w14:paraId="4190F49D">
      <w:pPr>
        <w:rPr>
          <w:rFonts w:ascii="仿宋" w:hAnsi="仿宋" w:eastAsia="仿宋"/>
          <w:color w:val="auto"/>
          <w:sz w:val="24"/>
          <w:highlight w:val="none"/>
        </w:rPr>
      </w:pPr>
      <w:r>
        <w:rPr>
          <w:rFonts w:hint="eastAsia" w:ascii="仿宋" w:hAnsi="仿宋" w:eastAsia="仿宋"/>
          <w:color w:val="auto"/>
          <w:sz w:val="24"/>
          <w:highlight w:val="none"/>
        </w:rPr>
        <w:t>项目编号：JSZC-320682-RGCJ-C2025</w:t>
      </w:r>
      <w:r>
        <w:rPr>
          <w:rFonts w:hint="eastAsia" w:ascii="仿宋" w:hAnsi="仿宋" w:eastAsia="仿宋"/>
          <w:color w:val="auto"/>
          <w:sz w:val="24"/>
          <w:highlight w:val="none"/>
          <w:lang w:eastAsia="zh-CN"/>
        </w:rPr>
        <w:t>-0026</w:t>
      </w:r>
      <w:r>
        <w:rPr>
          <w:rFonts w:hint="eastAsia" w:ascii="仿宋" w:hAnsi="仿宋" w:eastAsia="仿宋"/>
          <w:color w:val="auto"/>
          <w:sz w:val="24"/>
          <w:highlight w:val="none"/>
        </w:rPr>
        <w:t xml:space="preserve">                                                     </w:t>
      </w:r>
    </w:p>
    <w:tbl>
      <w:tblPr>
        <w:tblStyle w:val="11"/>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667"/>
        <w:gridCol w:w="1637"/>
        <w:gridCol w:w="1188"/>
        <w:gridCol w:w="1002"/>
        <w:gridCol w:w="965"/>
        <w:gridCol w:w="1018"/>
        <w:gridCol w:w="1387"/>
      </w:tblGrid>
      <w:tr w14:paraId="4E317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1" w:hRule="atLeast"/>
          <w:jc w:val="center"/>
        </w:trPr>
        <w:tc>
          <w:tcPr>
            <w:tcW w:w="730" w:type="dxa"/>
            <w:vAlign w:val="center"/>
          </w:tcPr>
          <w:p w14:paraId="27637B3D">
            <w:pPr>
              <w:pStyle w:val="5"/>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序号</w:t>
            </w:r>
          </w:p>
        </w:tc>
        <w:tc>
          <w:tcPr>
            <w:tcW w:w="1670" w:type="dxa"/>
            <w:vAlign w:val="center"/>
          </w:tcPr>
          <w:p w14:paraId="3F502661">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服务名称</w:t>
            </w:r>
          </w:p>
        </w:tc>
        <w:tc>
          <w:tcPr>
            <w:tcW w:w="1640" w:type="dxa"/>
            <w:vAlign w:val="center"/>
          </w:tcPr>
          <w:p w14:paraId="6FB97419">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服务内容</w:t>
            </w:r>
          </w:p>
        </w:tc>
        <w:tc>
          <w:tcPr>
            <w:tcW w:w="1188" w:type="dxa"/>
            <w:vAlign w:val="center"/>
          </w:tcPr>
          <w:p w14:paraId="668ADD0C">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计量单位</w:t>
            </w:r>
          </w:p>
        </w:tc>
        <w:tc>
          <w:tcPr>
            <w:tcW w:w="1001" w:type="dxa"/>
            <w:vAlign w:val="center"/>
          </w:tcPr>
          <w:p w14:paraId="60034F4F">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工作量</w:t>
            </w:r>
          </w:p>
        </w:tc>
        <w:tc>
          <w:tcPr>
            <w:tcW w:w="964" w:type="dxa"/>
            <w:vAlign w:val="center"/>
          </w:tcPr>
          <w:p w14:paraId="5C61F44E">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单 价</w:t>
            </w:r>
          </w:p>
          <w:p w14:paraId="507E08CF">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（元）</w:t>
            </w:r>
          </w:p>
        </w:tc>
        <w:tc>
          <w:tcPr>
            <w:tcW w:w="1017" w:type="dxa"/>
            <w:vAlign w:val="center"/>
          </w:tcPr>
          <w:p w14:paraId="718C4D64">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总 价</w:t>
            </w:r>
          </w:p>
          <w:p w14:paraId="4A9199F0">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（元）</w:t>
            </w:r>
          </w:p>
        </w:tc>
        <w:tc>
          <w:tcPr>
            <w:tcW w:w="1388" w:type="dxa"/>
            <w:vAlign w:val="center"/>
          </w:tcPr>
          <w:p w14:paraId="42C783A4">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备注</w:t>
            </w:r>
          </w:p>
        </w:tc>
      </w:tr>
      <w:tr w14:paraId="66B93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730" w:type="dxa"/>
            <w:vAlign w:val="center"/>
          </w:tcPr>
          <w:p w14:paraId="6406B1A5">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w:t>
            </w:r>
          </w:p>
        </w:tc>
        <w:tc>
          <w:tcPr>
            <w:tcW w:w="1670" w:type="dxa"/>
            <w:vAlign w:val="center"/>
          </w:tcPr>
          <w:p w14:paraId="7CF74422">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建筑质量安全鉴定</w:t>
            </w:r>
          </w:p>
        </w:tc>
        <w:tc>
          <w:tcPr>
            <w:tcW w:w="1640" w:type="dxa"/>
            <w:vAlign w:val="center"/>
          </w:tcPr>
          <w:p w14:paraId="586E2332">
            <w:pPr>
              <w:pStyle w:val="5"/>
              <w:snapToGrid w:val="0"/>
              <w:spacing w:after="0" w:line="240" w:lineRule="auto"/>
              <w:jc w:val="center"/>
              <w:rPr>
                <w:rFonts w:ascii="仿宋" w:hAnsi="仿宋" w:eastAsia="仿宋"/>
                <w:color w:val="auto"/>
                <w:sz w:val="24"/>
                <w:szCs w:val="24"/>
                <w:highlight w:val="none"/>
              </w:rPr>
            </w:pPr>
          </w:p>
        </w:tc>
        <w:tc>
          <w:tcPr>
            <w:tcW w:w="1188" w:type="dxa"/>
            <w:vAlign w:val="center"/>
          </w:tcPr>
          <w:p w14:paraId="54FB76A9">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w:t>
            </w:r>
          </w:p>
        </w:tc>
        <w:tc>
          <w:tcPr>
            <w:tcW w:w="1001" w:type="dxa"/>
            <w:vAlign w:val="center"/>
          </w:tcPr>
          <w:p w14:paraId="4024C7AA">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583000</w:t>
            </w:r>
          </w:p>
        </w:tc>
        <w:tc>
          <w:tcPr>
            <w:tcW w:w="964" w:type="dxa"/>
            <w:vAlign w:val="center"/>
          </w:tcPr>
          <w:p w14:paraId="001F7D45">
            <w:pPr>
              <w:pStyle w:val="5"/>
              <w:snapToGrid w:val="0"/>
              <w:spacing w:after="0" w:line="240" w:lineRule="auto"/>
              <w:jc w:val="center"/>
              <w:rPr>
                <w:rFonts w:ascii="仿宋" w:hAnsi="仿宋" w:eastAsia="仿宋"/>
                <w:color w:val="auto"/>
                <w:sz w:val="24"/>
                <w:szCs w:val="24"/>
                <w:highlight w:val="none"/>
              </w:rPr>
            </w:pPr>
          </w:p>
        </w:tc>
        <w:tc>
          <w:tcPr>
            <w:tcW w:w="1017" w:type="dxa"/>
            <w:vAlign w:val="center"/>
          </w:tcPr>
          <w:p w14:paraId="1FA25228">
            <w:pPr>
              <w:pStyle w:val="5"/>
              <w:snapToGrid w:val="0"/>
              <w:spacing w:after="0" w:line="240" w:lineRule="auto"/>
              <w:jc w:val="center"/>
              <w:rPr>
                <w:rFonts w:ascii="仿宋" w:hAnsi="仿宋" w:eastAsia="仿宋"/>
                <w:color w:val="auto"/>
                <w:sz w:val="24"/>
                <w:szCs w:val="24"/>
                <w:highlight w:val="none"/>
              </w:rPr>
            </w:pPr>
          </w:p>
        </w:tc>
        <w:tc>
          <w:tcPr>
            <w:tcW w:w="1388" w:type="dxa"/>
            <w:vAlign w:val="center"/>
          </w:tcPr>
          <w:p w14:paraId="00FCC4D9">
            <w:pPr>
              <w:pStyle w:val="5"/>
              <w:snapToGrid w:val="0"/>
              <w:spacing w:after="0" w:line="240" w:lineRule="auto"/>
              <w:jc w:val="center"/>
              <w:rPr>
                <w:rFonts w:ascii="仿宋" w:hAnsi="仿宋" w:eastAsia="仿宋"/>
                <w:color w:val="auto"/>
                <w:sz w:val="24"/>
                <w:szCs w:val="24"/>
                <w:highlight w:val="none"/>
              </w:rPr>
            </w:pPr>
          </w:p>
        </w:tc>
      </w:tr>
      <w:tr w14:paraId="15902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730" w:type="dxa"/>
            <w:vAlign w:val="center"/>
          </w:tcPr>
          <w:p w14:paraId="39FBB4CF">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2</w:t>
            </w:r>
          </w:p>
        </w:tc>
        <w:tc>
          <w:tcPr>
            <w:tcW w:w="1670" w:type="dxa"/>
            <w:vAlign w:val="center"/>
          </w:tcPr>
          <w:p w14:paraId="2C14C1DE">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消防安全评估</w:t>
            </w:r>
          </w:p>
        </w:tc>
        <w:tc>
          <w:tcPr>
            <w:tcW w:w="1640" w:type="dxa"/>
            <w:vAlign w:val="center"/>
          </w:tcPr>
          <w:p w14:paraId="058F036B">
            <w:pPr>
              <w:pStyle w:val="5"/>
              <w:snapToGrid w:val="0"/>
              <w:spacing w:after="0" w:line="240" w:lineRule="auto"/>
              <w:jc w:val="center"/>
              <w:rPr>
                <w:rFonts w:ascii="仿宋" w:hAnsi="仿宋" w:eastAsia="仿宋"/>
                <w:color w:val="auto"/>
                <w:sz w:val="24"/>
                <w:szCs w:val="24"/>
                <w:highlight w:val="none"/>
              </w:rPr>
            </w:pPr>
          </w:p>
        </w:tc>
        <w:tc>
          <w:tcPr>
            <w:tcW w:w="1188" w:type="dxa"/>
            <w:vAlign w:val="center"/>
          </w:tcPr>
          <w:p w14:paraId="6A770A2B">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w:t>
            </w:r>
          </w:p>
        </w:tc>
        <w:tc>
          <w:tcPr>
            <w:tcW w:w="1001" w:type="dxa"/>
            <w:vAlign w:val="center"/>
          </w:tcPr>
          <w:p w14:paraId="1D1DFB18">
            <w:pPr>
              <w:pStyle w:val="5"/>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1238000</w:t>
            </w:r>
          </w:p>
        </w:tc>
        <w:tc>
          <w:tcPr>
            <w:tcW w:w="964" w:type="dxa"/>
            <w:vAlign w:val="center"/>
          </w:tcPr>
          <w:p w14:paraId="3939C834">
            <w:pPr>
              <w:pStyle w:val="5"/>
              <w:snapToGrid w:val="0"/>
              <w:spacing w:after="0" w:line="240" w:lineRule="auto"/>
              <w:jc w:val="center"/>
              <w:rPr>
                <w:rFonts w:ascii="仿宋" w:hAnsi="仿宋" w:eastAsia="仿宋"/>
                <w:color w:val="auto"/>
                <w:sz w:val="24"/>
                <w:szCs w:val="24"/>
                <w:highlight w:val="none"/>
              </w:rPr>
            </w:pPr>
          </w:p>
        </w:tc>
        <w:tc>
          <w:tcPr>
            <w:tcW w:w="1017" w:type="dxa"/>
            <w:vAlign w:val="center"/>
          </w:tcPr>
          <w:p w14:paraId="28F4CD16">
            <w:pPr>
              <w:pStyle w:val="5"/>
              <w:snapToGrid w:val="0"/>
              <w:spacing w:after="0" w:line="240" w:lineRule="auto"/>
              <w:jc w:val="center"/>
              <w:rPr>
                <w:rFonts w:ascii="仿宋" w:hAnsi="仿宋" w:eastAsia="仿宋"/>
                <w:color w:val="auto"/>
                <w:sz w:val="24"/>
                <w:szCs w:val="24"/>
                <w:highlight w:val="none"/>
              </w:rPr>
            </w:pPr>
          </w:p>
        </w:tc>
        <w:tc>
          <w:tcPr>
            <w:tcW w:w="1388" w:type="dxa"/>
            <w:vAlign w:val="center"/>
          </w:tcPr>
          <w:p w14:paraId="7BD4BBE9">
            <w:pPr>
              <w:pStyle w:val="5"/>
              <w:snapToGrid w:val="0"/>
              <w:spacing w:after="0" w:line="240" w:lineRule="auto"/>
              <w:jc w:val="center"/>
              <w:rPr>
                <w:rFonts w:ascii="仿宋" w:hAnsi="仿宋" w:eastAsia="仿宋"/>
                <w:color w:val="auto"/>
                <w:sz w:val="24"/>
                <w:szCs w:val="24"/>
                <w:highlight w:val="none"/>
              </w:rPr>
            </w:pPr>
          </w:p>
        </w:tc>
      </w:tr>
      <w:tr w14:paraId="2009B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9598" w:type="dxa"/>
            <w:gridSpan w:val="8"/>
          </w:tcPr>
          <w:p w14:paraId="78E0D134">
            <w:pPr>
              <w:pStyle w:val="5"/>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大写：                                           合同价：      元</w:t>
            </w:r>
          </w:p>
        </w:tc>
      </w:tr>
    </w:tbl>
    <w:p w14:paraId="087E86E8">
      <w:pPr>
        <w:rPr>
          <w:rFonts w:ascii="仿宋" w:hAnsi="仿宋" w:eastAsia="仿宋"/>
          <w:color w:val="auto"/>
          <w:sz w:val="24"/>
          <w:highlight w:val="none"/>
        </w:rPr>
      </w:pPr>
    </w:p>
    <w:p w14:paraId="58925945">
      <w:pPr>
        <w:rPr>
          <w:rFonts w:ascii="仿宋" w:hAnsi="仿宋" w:eastAsia="仿宋"/>
          <w:b/>
          <w:color w:val="auto"/>
          <w:szCs w:val="21"/>
          <w:highlight w:val="none"/>
        </w:rPr>
      </w:pPr>
      <w:r>
        <w:rPr>
          <w:rFonts w:hint="eastAsia" w:ascii="仿宋" w:hAnsi="仿宋" w:eastAsia="仿宋"/>
          <w:color w:val="auto"/>
          <w:szCs w:val="21"/>
          <w:highlight w:val="none"/>
        </w:rPr>
        <w:t>注：</w:t>
      </w:r>
    </w:p>
    <w:p w14:paraId="03F90728">
      <w:pPr>
        <w:spacing w:line="300" w:lineRule="exact"/>
        <w:rPr>
          <w:rFonts w:ascii="仿宋" w:hAnsi="仿宋" w:eastAsia="仿宋"/>
          <w:color w:val="auto"/>
          <w:szCs w:val="21"/>
          <w:highlight w:val="none"/>
        </w:rPr>
      </w:pPr>
      <w:r>
        <w:rPr>
          <w:rFonts w:hint="eastAsia" w:ascii="仿宋" w:hAnsi="仿宋" w:eastAsia="仿宋"/>
          <w:color w:val="auto"/>
          <w:szCs w:val="21"/>
          <w:highlight w:val="none"/>
        </w:rPr>
        <w:t>1.此表可以根据需要自行增减行数。</w:t>
      </w:r>
    </w:p>
    <w:p w14:paraId="5EFEECCA">
      <w:pPr>
        <w:spacing w:line="300" w:lineRule="exact"/>
        <w:rPr>
          <w:rFonts w:ascii="仿宋" w:hAnsi="仿宋" w:eastAsia="仿宋"/>
          <w:color w:val="auto"/>
          <w:szCs w:val="21"/>
          <w:highlight w:val="none"/>
        </w:rPr>
      </w:pPr>
      <w:r>
        <w:rPr>
          <w:rFonts w:hint="eastAsia" w:ascii="仿宋" w:hAnsi="仿宋" w:eastAsia="仿宋"/>
          <w:color w:val="auto"/>
          <w:szCs w:val="21"/>
          <w:highlight w:val="none"/>
        </w:rPr>
        <w:t>2.项目如有分包，请各磋商供应商按投报的分包分别列表。</w:t>
      </w:r>
    </w:p>
    <w:p w14:paraId="54616B1B">
      <w:pPr>
        <w:rPr>
          <w:rFonts w:ascii="仿宋" w:hAnsi="仿宋" w:eastAsia="仿宋"/>
          <w:bCs/>
          <w:color w:val="auto"/>
          <w:sz w:val="28"/>
          <w:szCs w:val="28"/>
          <w:highlight w:val="none"/>
        </w:rPr>
      </w:pPr>
      <w:r>
        <w:rPr>
          <w:rFonts w:hint="eastAsia" w:ascii="仿宋" w:hAnsi="仿宋" w:eastAsia="仿宋"/>
          <w:color w:val="auto"/>
          <w:szCs w:val="21"/>
          <w:highlight w:val="none"/>
        </w:rPr>
        <w:t>3.报价即视为完全响应本项目采购公告、文件所有要求，报价包括完成本项目涉及的一切费用，采购人不再支付其他任何费用。</w:t>
      </w:r>
    </w:p>
    <w:p w14:paraId="25CF2209">
      <w:pPr>
        <w:ind w:firstLine="560"/>
        <w:rPr>
          <w:rFonts w:ascii="仿宋" w:hAnsi="仿宋" w:eastAsia="仿宋"/>
          <w:bCs/>
          <w:color w:val="auto"/>
          <w:sz w:val="28"/>
          <w:szCs w:val="28"/>
          <w:highlight w:val="none"/>
        </w:rPr>
      </w:pPr>
    </w:p>
    <w:p w14:paraId="63B3CD66">
      <w:pPr>
        <w:ind w:firstLine="560"/>
        <w:rPr>
          <w:rFonts w:ascii="仿宋" w:hAnsi="仿宋" w:eastAsia="仿宋"/>
          <w:bCs/>
          <w:color w:val="auto"/>
          <w:sz w:val="28"/>
          <w:szCs w:val="28"/>
          <w:highlight w:val="none"/>
        </w:rPr>
      </w:pPr>
    </w:p>
    <w:p w14:paraId="0B5DB76C">
      <w:pPr>
        <w:ind w:firstLine="560"/>
        <w:rPr>
          <w:rFonts w:ascii="仿宋" w:hAnsi="仿宋" w:eastAsia="仿宋"/>
          <w:bCs/>
          <w:color w:val="auto"/>
          <w:sz w:val="28"/>
          <w:szCs w:val="28"/>
          <w:highlight w:val="none"/>
        </w:rPr>
      </w:pPr>
    </w:p>
    <w:p w14:paraId="26BEE040">
      <w:pPr>
        <w:ind w:firstLine="560"/>
        <w:rPr>
          <w:rFonts w:ascii="仿宋" w:hAnsi="仿宋" w:eastAsia="仿宋"/>
          <w:bCs/>
          <w:color w:val="auto"/>
          <w:sz w:val="28"/>
          <w:szCs w:val="28"/>
          <w:highlight w:val="none"/>
        </w:rPr>
      </w:pPr>
    </w:p>
    <w:p w14:paraId="1DECB027">
      <w:pPr>
        <w:ind w:firstLine="560"/>
        <w:rPr>
          <w:rFonts w:ascii="仿宋" w:hAnsi="仿宋" w:eastAsia="仿宋"/>
          <w:bCs/>
          <w:color w:val="auto"/>
          <w:sz w:val="28"/>
          <w:szCs w:val="28"/>
          <w:highlight w:val="none"/>
        </w:rPr>
      </w:pPr>
    </w:p>
    <w:p w14:paraId="50A7A3CD">
      <w:pPr>
        <w:ind w:firstLine="560"/>
        <w:rPr>
          <w:rFonts w:ascii="仿宋" w:hAnsi="仿宋" w:eastAsia="仿宋"/>
          <w:bCs/>
          <w:color w:val="auto"/>
          <w:sz w:val="28"/>
          <w:szCs w:val="28"/>
          <w:highlight w:val="none"/>
        </w:rPr>
      </w:pPr>
    </w:p>
    <w:p w14:paraId="69FFCFB3">
      <w:pPr>
        <w:ind w:firstLine="560"/>
        <w:rPr>
          <w:rFonts w:ascii="仿宋" w:hAnsi="仿宋" w:eastAsia="仿宋"/>
          <w:bCs/>
          <w:color w:val="auto"/>
          <w:sz w:val="28"/>
          <w:szCs w:val="28"/>
          <w:highlight w:val="none"/>
        </w:rPr>
      </w:pPr>
    </w:p>
    <w:p w14:paraId="042BDAAF">
      <w:pPr>
        <w:ind w:firstLine="560"/>
        <w:rPr>
          <w:rFonts w:ascii="仿宋" w:hAnsi="仿宋" w:eastAsia="仿宋"/>
          <w:bCs/>
          <w:color w:val="auto"/>
          <w:sz w:val="28"/>
          <w:szCs w:val="28"/>
          <w:highlight w:val="none"/>
        </w:rPr>
      </w:pPr>
    </w:p>
    <w:p w14:paraId="5E322506">
      <w:pPr>
        <w:ind w:firstLine="560"/>
        <w:rPr>
          <w:rFonts w:ascii="仿宋" w:hAnsi="仿宋" w:eastAsia="仿宋"/>
          <w:bCs/>
          <w:color w:val="auto"/>
          <w:sz w:val="28"/>
          <w:szCs w:val="28"/>
          <w:highlight w:val="none"/>
        </w:rPr>
      </w:pPr>
    </w:p>
    <w:p w14:paraId="20B70975">
      <w:pPr>
        <w:ind w:firstLine="560"/>
        <w:rPr>
          <w:rFonts w:ascii="仿宋" w:hAnsi="仿宋" w:eastAsia="仿宋"/>
          <w:bCs/>
          <w:color w:val="auto"/>
          <w:sz w:val="28"/>
          <w:szCs w:val="28"/>
          <w:highlight w:val="none"/>
        </w:rPr>
      </w:pPr>
    </w:p>
    <w:p w14:paraId="43DF42AB">
      <w:pPr>
        <w:ind w:firstLine="560"/>
        <w:rPr>
          <w:rFonts w:ascii="仿宋" w:hAnsi="仿宋" w:eastAsia="仿宋"/>
          <w:bCs/>
          <w:color w:val="auto"/>
          <w:sz w:val="28"/>
          <w:szCs w:val="28"/>
          <w:highlight w:val="none"/>
        </w:rPr>
      </w:pPr>
    </w:p>
    <w:p w14:paraId="54CF28A9">
      <w:pPr>
        <w:ind w:firstLine="560"/>
        <w:rPr>
          <w:rFonts w:ascii="仿宋" w:hAnsi="仿宋" w:eastAsia="仿宋"/>
          <w:bCs/>
          <w:color w:val="auto"/>
          <w:sz w:val="28"/>
          <w:szCs w:val="28"/>
          <w:highlight w:val="none"/>
        </w:rPr>
      </w:pPr>
    </w:p>
    <w:p w14:paraId="1EB214C5">
      <w:pPr>
        <w:ind w:firstLine="560"/>
        <w:rPr>
          <w:rFonts w:ascii="仿宋" w:hAnsi="仿宋" w:eastAsia="仿宋"/>
          <w:bCs/>
          <w:color w:val="auto"/>
          <w:sz w:val="28"/>
          <w:szCs w:val="28"/>
          <w:highlight w:val="none"/>
        </w:rPr>
      </w:pPr>
    </w:p>
    <w:p w14:paraId="3748031F">
      <w:pPr>
        <w:ind w:firstLine="560"/>
        <w:rPr>
          <w:rFonts w:ascii="仿宋" w:hAnsi="仿宋" w:eastAsia="仿宋"/>
          <w:bCs/>
          <w:color w:val="auto"/>
          <w:sz w:val="28"/>
          <w:szCs w:val="28"/>
          <w:highlight w:val="none"/>
        </w:rPr>
      </w:pPr>
    </w:p>
    <w:p w14:paraId="6A506D1E">
      <w:pPr>
        <w:ind w:firstLine="560"/>
        <w:rPr>
          <w:rFonts w:ascii="仿宋" w:hAnsi="仿宋" w:eastAsia="仿宋"/>
          <w:bCs/>
          <w:color w:val="auto"/>
          <w:sz w:val="28"/>
          <w:szCs w:val="28"/>
          <w:highlight w:val="none"/>
        </w:rPr>
      </w:pPr>
    </w:p>
    <w:p w14:paraId="69484A2F">
      <w:pPr>
        <w:ind w:firstLine="560"/>
        <w:rPr>
          <w:rFonts w:ascii="仿宋" w:hAnsi="仿宋" w:eastAsia="仿宋"/>
          <w:bCs/>
          <w:color w:val="auto"/>
          <w:sz w:val="28"/>
          <w:szCs w:val="28"/>
          <w:highlight w:val="none"/>
        </w:rPr>
      </w:pPr>
    </w:p>
    <w:p w14:paraId="715F104E">
      <w:pPr>
        <w:ind w:firstLine="560"/>
        <w:rPr>
          <w:rFonts w:ascii="仿宋" w:hAnsi="仿宋" w:eastAsia="仿宋"/>
          <w:bCs/>
          <w:color w:val="auto"/>
          <w:sz w:val="28"/>
          <w:szCs w:val="28"/>
          <w:highlight w:val="none"/>
        </w:rPr>
      </w:pPr>
    </w:p>
    <w:p w14:paraId="7201C7D0">
      <w:pPr>
        <w:ind w:firstLine="560"/>
        <w:rPr>
          <w:rFonts w:ascii="仿宋" w:hAnsi="仿宋" w:eastAsia="仿宋"/>
          <w:bCs/>
          <w:color w:val="auto"/>
          <w:sz w:val="28"/>
          <w:szCs w:val="28"/>
          <w:highlight w:val="none"/>
        </w:rPr>
      </w:pPr>
    </w:p>
    <w:p w14:paraId="3F784ED5">
      <w:pPr>
        <w:ind w:firstLine="560"/>
        <w:rPr>
          <w:rFonts w:ascii="仿宋" w:hAnsi="仿宋" w:eastAsia="仿宋"/>
          <w:bCs/>
          <w:color w:val="auto"/>
          <w:sz w:val="28"/>
          <w:szCs w:val="28"/>
          <w:highlight w:val="none"/>
        </w:rPr>
      </w:pPr>
    </w:p>
    <w:p w14:paraId="09C6BE35">
      <w:pPr>
        <w:ind w:firstLine="560"/>
        <w:rPr>
          <w:rFonts w:ascii="仿宋" w:hAnsi="仿宋" w:eastAsia="仿宋"/>
          <w:bCs/>
          <w:color w:val="auto"/>
          <w:sz w:val="28"/>
          <w:szCs w:val="28"/>
          <w:highlight w:val="none"/>
        </w:rPr>
      </w:pPr>
    </w:p>
    <w:p w14:paraId="42060835">
      <w:pPr>
        <w:ind w:firstLine="560"/>
        <w:rPr>
          <w:rFonts w:ascii="仿宋" w:hAnsi="仿宋" w:eastAsia="仿宋"/>
          <w:bCs/>
          <w:color w:val="auto"/>
          <w:sz w:val="28"/>
          <w:szCs w:val="28"/>
          <w:highlight w:val="none"/>
        </w:rPr>
      </w:pPr>
    </w:p>
    <w:p w14:paraId="3B47F22A">
      <w:pPr>
        <w:ind w:firstLine="560"/>
        <w:rPr>
          <w:rFonts w:ascii="仿宋" w:hAnsi="仿宋" w:eastAsia="仿宋"/>
          <w:bCs/>
          <w:color w:val="auto"/>
          <w:sz w:val="28"/>
          <w:szCs w:val="28"/>
          <w:highlight w:val="none"/>
        </w:rPr>
      </w:pPr>
    </w:p>
    <w:p w14:paraId="02B7EC63">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lang w:val="en-US" w:eastAsia="zh-CN"/>
        </w:rPr>
        <w:t>三</w:t>
      </w:r>
      <w:r>
        <w:rPr>
          <w:rFonts w:hint="eastAsia" w:ascii="仿宋" w:hAnsi="仿宋" w:eastAsia="仿宋"/>
          <w:bCs/>
          <w:color w:val="auto"/>
          <w:sz w:val="28"/>
          <w:szCs w:val="28"/>
          <w:highlight w:val="none"/>
        </w:rPr>
        <w:t>）中小企业声明函</w:t>
      </w:r>
    </w:p>
    <w:p w14:paraId="7FD5FA27">
      <w:pPr>
        <w:jc w:val="center"/>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中小企业声明函（工程、服务）</w:t>
      </w:r>
    </w:p>
    <w:p w14:paraId="0207C606">
      <w:pPr>
        <w:spacing w:line="500" w:lineRule="exact"/>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本公司（联合体）郑重声明，根据《政府采购促进中小企业发展管理办法》（财库﹝2020﹞46 号）的规定，本公司（联合体）参加</w:t>
      </w:r>
      <w:r>
        <w:rPr>
          <w:rFonts w:hint="eastAsia" w:ascii="仿宋" w:hAnsi="仿宋" w:eastAsia="仿宋"/>
          <w:color w:val="auto"/>
          <w:sz w:val="32"/>
          <w:szCs w:val="32"/>
          <w:highlight w:val="none"/>
          <w:u w:val="single"/>
        </w:rPr>
        <w:t>如皋市高新区高层建筑质量安全鉴定和消防安全评估项目</w:t>
      </w:r>
      <w:r>
        <w:rPr>
          <w:rFonts w:hint="eastAsia" w:ascii="仿宋" w:hAnsi="仿宋" w:eastAsia="仿宋"/>
          <w:color w:val="auto"/>
          <w:sz w:val="32"/>
          <w:szCs w:val="32"/>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642704A2">
      <w:pPr>
        <w:spacing w:line="500" w:lineRule="exact"/>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1.</w:t>
      </w:r>
      <w:r>
        <w:rPr>
          <w:rFonts w:hint="eastAsia" w:ascii="仿宋" w:hAnsi="仿宋" w:eastAsia="仿宋"/>
          <w:color w:val="auto"/>
          <w:sz w:val="32"/>
          <w:szCs w:val="32"/>
          <w:highlight w:val="none"/>
          <w:u w:val="single"/>
        </w:rPr>
        <w:t>如皋市高新区高层建筑质量安全鉴定和消防安全评估项目</w:t>
      </w:r>
      <w:r>
        <w:rPr>
          <w:rFonts w:hint="eastAsia" w:ascii="仿宋" w:hAnsi="仿宋" w:eastAsia="仿宋"/>
          <w:color w:val="auto"/>
          <w:sz w:val="32"/>
          <w:szCs w:val="32"/>
          <w:highlight w:val="none"/>
        </w:rPr>
        <w:t>，属于</w:t>
      </w:r>
      <w:r>
        <w:rPr>
          <w:rFonts w:hint="eastAsia" w:ascii="仿宋" w:hAnsi="仿宋" w:eastAsia="仿宋"/>
          <w:color w:val="auto"/>
          <w:sz w:val="32"/>
          <w:szCs w:val="32"/>
          <w:highlight w:val="none"/>
          <w:u w:val="single"/>
        </w:rPr>
        <w:t>其他未列明行业</w:t>
      </w:r>
      <w:r>
        <w:rPr>
          <w:rFonts w:hint="eastAsia" w:ascii="仿宋" w:hAnsi="仿宋" w:eastAsia="仿宋"/>
          <w:color w:val="auto"/>
          <w:sz w:val="32"/>
          <w:szCs w:val="32"/>
          <w:highlight w:val="none"/>
        </w:rPr>
        <w:t xml:space="preserve">；承建（承接）企业为 </w:t>
      </w:r>
      <w:r>
        <w:rPr>
          <w:rFonts w:hint="eastAsia" w:ascii="仿宋" w:hAnsi="仿宋" w:eastAsia="仿宋"/>
          <w:i/>
          <w:color w:val="auto"/>
          <w:sz w:val="32"/>
          <w:szCs w:val="32"/>
          <w:highlight w:val="none"/>
          <w:u w:val="single"/>
        </w:rPr>
        <w:t>（企业名称）</w:t>
      </w:r>
      <w:r>
        <w:rPr>
          <w:rFonts w:hint="eastAsia" w:ascii="仿宋" w:hAnsi="仿宋" w:eastAsia="仿宋"/>
          <w:color w:val="auto"/>
          <w:sz w:val="32"/>
          <w:szCs w:val="32"/>
          <w:highlight w:val="none"/>
        </w:rPr>
        <w:t xml:space="preserve"> ，从业人员人，营业收入为万元，资产总额为万元</w:t>
      </w:r>
      <w:r>
        <w:rPr>
          <w:rFonts w:hint="eastAsia" w:ascii="仿宋" w:hAnsi="仿宋" w:eastAsia="仿宋"/>
          <w:color w:val="auto"/>
          <w:sz w:val="32"/>
          <w:szCs w:val="32"/>
          <w:highlight w:val="none"/>
          <w:vertAlign w:val="superscript"/>
        </w:rPr>
        <w:t>1</w:t>
      </w:r>
      <w:r>
        <w:rPr>
          <w:rFonts w:hint="eastAsia" w:ascii="仿宋" w:hAnsi="仿宋" w:eastAsia="仿宋"/>
          <w:color w:val="auto"/>
          <w:sz w:val="32"/>
          <w:szCs w:val="32"/>
          <w:highlight w:val="none"/>
        </w:rPr>
        <w:t xml:space="preserve"> ，属于</w:t>
      </w:r>
      <w:r>
        <w:rPr>
          <w:rFonts w:hint="eastAsia" w:ascii="仿宋" w:hAnsi="仿宋" w:eastAsia="仿宋"/>
          <w:i/>
          <w:color w:val="auto"/>
          <w:sz w:val="32"/>
          <w:szCs w:val="32"/>
          <w:highlight w:val="none"/>
          <w:u w:val="single"/>
        </w:rPr>
        <w:t xml:space="preserve"> （中型企业、小型企业、微型企业） </w:t>
      </w:r>
      <w:r>
        <w:rPr>
          <w:rFonts w:hint="eastAsia" w:ascii="仿宋" w:hAnsi="仿宋" w:eastAsia="仿宋"/>
          <w:color w:val="auto"/>
          <w:sz w:val="32"/>
          <w:szCs w:val="32"/>
          <w:highlight w:val="none"/>
        </w:rPr>
        <w:t>；</w:t>
      </w:r>
    </w:p>
    <w:p w14:paraId="575D98FE">
      <w:pPr>
        <w:spacing w:line="500" w:lineRule="exact"/>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以上企业，不属于大企业的分支机构，不存在控股股东为大企业的情形，也不存在与大企业的负责人为同一人的情形。</w:t>
      </w:r>
    </w:p>
    <w:p w14:paraId="17CA52CC">
      <w:pPr>
        <w:spacing w:line="500" w:lineRule="exact"/>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本企业对上述声明内容的真实性负责。如有虚假，将依法承担相应责任。</w:t>
      </w:r>
    </w:p>
    <w:p w14:paraId="1FA6C52F">
      <w:pPr>
        <w:spacing w:line="500" w:lineRule="exact"/>
        <w:ind w:firstLine="640"/>
        <w:jc w:val="righ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企业名称（盖章）：          </w:t>
      </w:r>
    </w:p>
    <w:p w14:paraId="2C7F67A9">
      <w:pPr>
        <w:spacing w:line="500" w:lineRule="exact"/>
        <w:ind w:firstLine="640"/>
        <w:jc w:val="righ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日 期：             </w:t>
      </w:r>
    </w:p>
    <w:p w14:paraId="55990D99">
      <w:pPr>
        <w:spacing w:line="500" w:lineRule="exact"/>
        <w:ind w:right="560"/>
        <w:rPr>
          <w:rFonts w:ascii="仿宋" w:hAnsi="仿宋" w:eastAsia="仿宋"/>
          <w:color w:val="auto"/>
          <w:sz w:val="28"/>
          <w:szCs w:val="28"/>
          <w:highlight w:val="none"/>
        </w:rPr>
      </w:pPr>
      <w:r>
        <w:rPr>
          <w:rFonts w:hint="eastAsia" w:ascii="仿宋" w:hAnsi="仿宋" w:eastAsia="仿宋"/>
          <w:color w:val="auto"/>
          <w:sz w:val="28"/>
          <w:szCs w:val="28"/>
          <w:highlight w:val="none"/>
        </w:rPr>
        <w:t>注</w:t>
      </w:r>
      <w:r>
        <w:rPr>
          <w:rFonts w:ascii="仿宋" w:hAnsi="仿宋" w:eastAsia="仿宋"/>
          <w:color w:val="auto"/>
          <w:sz w:val="28"/>
          <w:szCs w:val="28"/>
          <w:highlight w:val="none"/>
        </w:rPr>
        <w:t>1</w:t>
      </w:r>
      <w:r>
        <w:rPr>
          <w:rFonts w:hint="eastAsia" w:ascii="仿宋" w:hAnsi="仿宋" w:eastAsia="仿宋"/>
          <w:color w:val="auto"/>
          <w:sz w:val="28"/>
          <w:szCs w:val="28"/>
          <w:highlight w:val="none"/>
        </w:rPr>
        <w:t>：从业人员、营业收入、资产总额填报上一年度数据，无上一年度数据的新成立企业可不填报。</w:t>
      </w:r>
    </w:p>
    <w:p w14:paraId="77CBA2D0">
      <w:pPr>
        <w:spacing w:line="500" w:lineRule="exact"/>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lang w:val="en-US" w:eastAsia="zh-CN"/>
        </w:rPr>
        <w:t>四</w:t>
      </w:r>
      <w:r>
        <w:rPr>
          <w:rFonts w:hint="eastAsia" w:ascii="仿宋" w:hAnsi="仿宋" w:eastAsia="仿宋"/>
          <w:bCs/>
          <w:color w:val="auto"/>
          <w:sz w:val="28"/>
          <w:szCs w:val="28"/>
          <w:highlight w:val="none"/>
        </w:rPr>
        <w:t>）</w:t>
      </w:r>
      <w:r>
        <w:rPr>
          <w:rFonts w:hint="eastAsia" w:ascii="仿宋" w:hAnsi="仿宋" w:eastAsia="仿宋" w:cs="Arial"/>
          <w:color w:val="auto"/>
          <w:sz w:val="28"/>
          <w:szCs w:val="28"/>
          <w:highlight w:val="none"/>
        </w:rPr>
        <w:t>残疾人福利性单位声明函</w:t>
      </w:r>
    </w:p>
    <w:p w14:paraId="31DBF4DB">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残疾人福利性单位声明函</w:t>
      </w:r>
    </w:p>
    <w:p w14:paraId="1B5AB852">
      <w:pPr>
        <w:spacing w:line="500" w:lineRule="exact"/>
        <w:ind w:firstLine="560"/>
        <w:rPr>
          <w:rFonts w:ascii="仿宋" w:hAnsi="仿宋" w:eastAsia="仿宋"/>
          <w:color w:val="auto"/>
          <w:sz w:val="28"/>
          <w:szCs w:val="28"/>
          <w:highlight w:val="none"/>
        </w:rPr>
      </w:pPr>
    </w:p>
    <w:p w14:paraId="3B449637">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p>
    <w:p w14:paraId="67099A3A">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本单位在本次政府采购活动中提供的残疾人福利单位产品报价合计为人民币（大写）元整（￥：）。</w:t>
      </w:r>
    </w:p>
    <w:p w14:paraId="43387A73">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本单位对上述声明的真实性负责。如有虚假，将依法承担相应责任。</w:t>
      </w:r>
    </w:p>
    <w:p w14:paraId="0FE1C44B">
      <w:pPr>
        <w:spacing w:line="500" w:lineRule="exact"/>
        <w:ind w:firstLine="560"/>
        <w:rPr>
          <w:rFonts w:ascii="仿宋" w:hAnsi="仿宋" w:eastAsia="仿宋"/>
          <w:color w:val="auto"/>
          <w:sz w:val="28"/>
          <w:szCs w:val="28"/>
          <w:highlight w:val="none"/>
        </w:rPr>
      </w:pPr>
    </w:p>
    <w:p w14:paraId="09047EA5">
      <w:pPr>
        <w:tabs>
          <w:tab w:val="left" w:pos="4860"/>
        </w:tabs>
        <w:spacing w:line="500" w:lineRule="exact"/>
        <w:ind w:right="1560" w:firstLine="560"/>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p>
    <w:p w14:paraId="38909B67">
      <w:pPr>
        <w:tabs>
          <w:tab w:val="left" w:pos="4860"/>
        </w:tabs>
        <w:spacing w:line="500" w:lineRule="exact"/>
        <w:ind w:right="1560" w:firstLine="560"/>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p>
    <w:p w14:paraId="7DA4C1EB">
      <w:pPr>
        <w:spacing w:line="500" w:lineRule="exact"/>
        <w:ind w:firstLine="560"/>
        <w:rPr>
          <w:rFonts w:ascii="仿宋" w:hAnsi="仿宋" w:eastAsia="仿宋"/>
          <w:color w:val="auto"/>
          <w:sz w:val="28"/>
          <w:szCs w:val="28"/>
          <w:highlight w:val="none"/>
        </w:rPr>
      </w:pPr>
    </w:p>
    <w:p w14:paraId="4195BFF4">
      <w:pPr>
        <w:spacing w:line="500" w:lineRule="exact"/>
        <w:ind w:firstLine="560"/>
        <w:rPr>
          <w:rFonts w:ascii="仿宋" w:hAnsi="仿宋" w:eastAsia="仿宋"/>
          <w:color w:val="auto"/>
          <w:sz w:val="28"/>
          <w:szCs w:val="28"/>
          <w:highlight w:val="none"/>
        </w:rPr>
      </w:pPr>
    </w:p>
    <w:p w14:paraId="1B680964">
      <w:pPr>
        <w:spacing w:line="500" w:lineRule="exact"/>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注意：成交供应商提供的《中小企业声明函》、《残疾人福利性单位声明函》将随成交结果同时公告，接受社会监督。</w:t>
      </w:r>
    </w:p>
    <w:p w14:paraId="070B754D">
      <w:pPr>
        <w:rPr>
          <w:color w:val="auto"/>
          <w:highlight w:val="none"/>
        </w:rPr>
      </w:pPr>
    </w:p>
    <w:sectPr>
      <w:headerReference r:id="rId6" w:type="default"/>
      <w:footerReference r:id="rId7" w:type="default"/>
      <w:footerReference r:id="rId8" w:type="even"/>
      <w:pgSz w:w="11906" w:h="16838"/>
      <w:pgMar w:top="1418" w:right="1134" w:bottom="1134"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文鼎CS楷体">
    <w:altName w:val="Arial Unicode MS"/>
    <w:panose1 w:val="02010609010101010101"/>
    <w:charset w:val="86"/>
    <w:family w:val="modern"/>
    <w:pitch w:val="default"/>
    <w:sig w:usb0="00000000" w:usb1="00000000" w:usb2="00000000" w:usb3="00000000" w:csb0="00000000" w:csb1="00000000"/>
  </w:font>
  <w:font w:name="KSOF4B1AA1F4">
    <w:panose1 w:val="02000000000000000000"/>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24675">
    <w:pPr>
      <w:pStyle w:val="21"/>
      <w:framePr w:wrap="around" w:vAnchor="text" w:hAnchor="margin" w:xAlign="center" w:y="1"/>
      <w:rPr>
        <w:rStyle w:val="22"/>
      </w:rPr>
    </w:pPr>
    <w:r>
      <w:fldChar w:fldCharType="begin"/>
    </w:r>
    <w:r>
      <w:rPr>
        <w:rStyle w:val="22"/>
      </w:rPr>
      <w:instrText xml:space="preserve">PAGE  </w:instrText>
    </w:r>
    <w:r>
      <w:fldChar w:fldCharType="separate"/>
    </w:r>
    <w:r>
      <w:rPr>
        <w:rStyle w:val="22"/>
      </w:rPr>
      <w:t>5</w:t>
    </w:r>
    <w:r>
      <w:fldChar w:fldCharType="end"/>
    </w:r>
  </w:p>
  <w:p w14:paraId="2FAE3826">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2A77B">
    <w:pPr>
      <w:pStyle w:val="21"/>
      <w:framePr w:wrap="around" w:vAnchor="text" w:hAnchor="margin" w:xAlign="center" w:y="1"/>
      <w:rPr>
        <w:rStyle w:val="22"/>
      </w:rPr>
    </w:pPr>
    <w:r>
      <w:fldChar w:fldCharType="begin"/>
    </w:r>
    <w:r>
      <w:rPr>
        <w:rStyle w:val="22"/>
      </w:rPr>
      <w:instrText xml:space="preserve">PAGE  </w:instrText>
    </w:r>
    <w:r>
      <w:fldChar w:fldCharType="end"/>
    </w:r>
  </w:p>
  <w:p w14:paraId="1469DB1C">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FED3F">
    <w:pPr>
      <w:pStyle w:val="21"/>
      <w:framePr w:wrap="around" w:vAnchor="text" w:hAnchor="margin" w:xAlign="center" w:y="1"/>
      <w:rPr>
        <w:rStyle w:val="22"/>
      </w:rPr>
    </w:pPr>
    <w:r>
      <w:fldChar w:fldCharType="begin"/>
    </w:r>
    <w:r>
      <w:rPr>
        <w:rStyle w:val="22"/>
      </w:rPr>
      <w:instrText xml:space="preserve">PAGE  </w:instrText>
    </w:r>
    <w:r>
      <w:fldChar w:fldCharType="separate"/>
    </w:r>
    <w:r>
      <w:rPr>
        <w:rStyle w:val="22"/>
      </w:rPr>
      <w:t>37</w:t>
    </w:r>
    <w:r>
      <w:fldChar w:fldCharType="end"/>
    </w:r>
  </w:p>
  <w:p w14:paraId="61C41564">
    <w:pPr>
      <w:pStyle w:val="2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76D97">
    <w:pPr>
      <w:pStyle w:val="21"/>
      <w:framePr w:wrap="around" w:vAnchor="text" w:hAnchor="margin" w:xAlign="center" w:y="1"/>
      <w:rPr>
        <w:rStyle w:val="22"/>
      </w:rPr>
    </w:pPr>
    <w:r>
      <w:fldChar w:fldCharType="begin"/>
    </w:r>
    <w:r>
      <w:rPr>
        <w:rStyle w:val="22"/>
      </w:rPr>
      <w:instrText xml:space="preserve">PAGE  </w:instrText>
    </w:r>
    <w:r>
      <w:fldChar w:fldCharType="end"/>
    </w:r>
  </w:p>
  <w:p w14:paraId="08A058E1">
    <w:pPr>
      <w:pStyle w:val="2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66866">
    <w:pPr>
      <w:pStyle w:val="20"/>
    </w:pPr>
    <w:r>
      <w:rPr>
        <w:rFonts w:hint="eastAsia"/>
      </w:rPr>
      <w:t>如</w:t>
    </w:r>
    <w:r>
      <w:t>皋市政府采购</w:t>
    </w:r>
    <w:r>
      <w:rPr>
        <w:rFonts w:hint="eastAsia"/>
      </w:rPr>
      <w:t>竞争性磋商</w:t>
    </w:r>
    <w: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47C28">
    <w:pPr>
      <w:pStyle w:val="20"/>
    </w:pPr>
    <w:r>
      <w:rPr>
        <w:rFonts w:hint="eastAsia"/>
      </w:rPr>
      <w:t>如</w:t>
    </w:r>
    <w:r>
      <w:t>皋市政府采购</w:t>
    </w:r>
    <w:r>
      <w:rPr>
        <w:rFonts w:hint="eastAsia"/>
      </w:rPr>
      <w:t>竞争性磋商</w:t>
    </w:r>
    <w: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09A8C8"/>
    <w:multiLevelType w:val="singleLevel"/>
    <w:tmpl w:val="DC09A8C8"/>
    <w:lvl w:ilvl="0" w:tentative="0">
      <w:start w:val="3"/>
      <w:numFmt w:val="decimal"/>
      <w:suff w:val="nothing"/>
      <w:lvlText w:val="（%1）"/>
      <w:lvlJc w:val="left"/>
    </w:lvl>
  </w:abstractNum>
  <w:abstractNum w:abstractNumId="1">
    <w:nsid w:val="0053208E"/>
    <w:multiLevelType w:val="multilevel"/>
    <w:tmpl w:val="0053208E"/>
    <w:lvl w:ilvl="0" w:tentative="0">
      <w:start w:val="1"/>
      <w:numFmt w:val="japaneseCounting"/>
      <w:lvlText w:val="第%1条"/>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5D6"/>
    <w:rsid w:val="000259D6"/>
    <w:rsid w:val="00202484"/>
    <w:rsid w:val="003D5223"/>
    <w:rsid w:val="00C44460"/>
    <w:rsid w:val="00F415D6"/>
    <w:rsid w:val="03A92947"/>
    <w:rsid w:val="080C0DE8"/>
    <w:rsid w:val="0C1634FE"/>
    <w:rsid w:val="0C7563F3"/>
    <w:rsid w:val="11DC6ED9"/>
    <w:rsid w:val="11FD5C45"/>
    <w:rsid w:val="127E0B34"/>
    <w:rsid w:val="136D1D00"/>
    <w:rsid w:val="14CB20CB"/>
    <w:rsid w:val="170A3B23"/>
    <w:rsid w:val="196A0064"/>
    <w:rsid w:val="1972631C"/>
    <w:rsid w:val="1A01057C"/>
    <w:rsid w:val="1A3348FA"/>
    <w:rsid w:val="1B8A0CEC"/>
    <w:rsid w:val="1BE317A6"/>
    <w:rsid w:val="1CA82BA5"/>
    <w:rsid w:val="1DAF24EA"/>
    <w:rsid w:val="1F5D52D8"/>
    <w:rsid w:val="22375BA8"/>
    <w:rsid w:val="249D35DF"/>
    <w:rsid w:val="26FE1DEC"/>
    <w:rsid w:val="2FAA5B9D"/>
    <w:rsid w:val="300500A0"/>
    <w:rsid w:val="30416C65"/>
    <w:rsid w:val="30D85CFA"/>
    <w:rsid w:val="34657222"/>
    <w:rsid w:val="37AD49B3"/>
    <w:rsid w:val="3AB331C1"/>
    <w:rsid w:val="3C552056"/>
    <w:rsid w:val="3D73239C"/>
    <w:rsid w:val="3DC57048"/>
    <w:rsid w:val="40AC2B44"/>
    <w:rsid w:val="40D94CFF"/>
    <w:rsid w:val="43882D11"/>
    <w:rsid w:val="47F60720"/>
    <w:rsid w:val="48FB0D0C"/>
    <w:rsid w:val="49296D45"/>
    <w:rsid w:val="4A3E237C"/>
    <w:rsid w:val="4AEA551D"/>
    <w:rsid w:val="4B660465"/>
    <w:rsid w:val="4D487DCD"/>
    <w:rsid w:val="4FD94481"/>
    <w:rsid w:val="507765E7"/>
    <w:rsid w:val="54087FC0"/>
    <w:rsid w:val="550A23F5"/>
    <w:rsid w:val="57941D5A"/>
    <w:rsid w:val="58031B3A"/>
    <w:rsid w:val="58E14F46"/>
    <w:rsid w:val="598D26A3"/>
    <w:rsid w:val="5B4026A7"/>
    <w:rsid w:val="5D9A74CD"/>
    <w:rsid w:val="62026145"/>
    <w:rsid w:val="63572933"/>
    <w:rsid w:val="63FE0403"/>
    <w:rsid w:val="642301C1"/>
    <w:rsid w:val="658630FD"/>
    <w:rsid w:val="69034A64"/>
    <w:rsid w:val="6B7D0AFE"/>
    <w:rsid w:val="6C492150"/>
    <w:rsid w:val="6E671E2C"/>
    <w:rsid w:val="6FC0545D"/>
    <w:rsid w:val="6FDE58E3"/>
    <w:rsid w:val="706E4EB9"/>
    <w:rsid w:val="70DA1D6D"/>
    <w:rsid w:val="71050B08"/>
    <w:rsid w:val="78D75F01"/>
    <w:rsid w:val="7DEE31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index 5"/>
    <w:basedOn w:val="1"/>
    <w:next w:val="1"/>
    <w:unhideWhenUsed/>
    <w:qFormat/>
    <w:uiPriority w:val="99"/>
    <w:pPr>
      <w:ind w:left="800" w:leftChars="800"/>
    </w:pPr>
  </w:style>
  <w:style w:type="paragraph" w:styleId="3">
    <w:name w:val="Body Text Indent"/>
    <w:basedOn w:val="1"/>
    <w:next w:val="4"/>
    <w:qFormat/>
    <w:uiPriority w:val="0"/>
    <w:pPr>
      <w:spacing w:after="120"/>
      <w:ind w:left="420" w:leftChars="200"/>
    </w:pPr>
  </w:style>
  <w:style w:type="paragraph" w:styleId="4">
    <w:name w:val="envelope return"/>
    <w:basedOn w:val="1"/>
    <w:unhideWhenUsed/>
    <w:qFormat/>
    <w:uiPriority w:val="99"/>
    <w:pPr>
      <w:snapToGrid w:val="0"/>
    </w:pPr>
    <w:rPr>
      <w:rFonts w:ascii="Arial" w:hAnsi="Arial"/>
    </w:rPr>
  </w:style>
  <w:style w:type="paragraph" w:styleId="5">
    <w:name w:val="Plain Text"/>
    <w:basedOn w:val="1"/>
    <w:qFormat/>
    <w:uiPriority w:val="0"/>
    <w:pPr>
      <w:widowControl/>
      <w:spacing w:after="200" w:line="252" w:lineRule="auto"/>
      <w:jc w:val="left"/>
    </w:pPr>
    <w:rPr>
      <w:rFonts w:ascii="宋体" w:hAnsi="Courier New"/>
      <w:szCs w:val="20"/>
    </w:rPr>
  </w:style>
  <w:style w:type="paragraph" w:styleId="6">
    <w:name w:val="Date"/>
    <w:basedOn w:val="1"/>
    <w:next w:val="1"/>
    <w:qFormat/>
    <w:uiPriority w:val="0"/>
    <w:rPr>
      <w:sz w:val="24"/>
      <w:szCs w:val="20"/>
    </w:rPr>
  </w:style>
  <w:style w:type="paragraph" w:styleId="7">
    <w:name w:val="footer"/>
    <w:basedOn w:val="1"/>
    <w:link w:val="25"/>
    <w:qFormat/>
    <w:uiPriority w:val="0"/>
    <w:pPr>
      <w:tabs>
        <w:tab w:val="center" w:pos="4153"/>
        <w:tab w:val="right" w:pos="8306"/>
      </w:tabs>
      <w:snapToGrid w:val="0"/>
      <w:jc w:val="left"/>
    </w:pPr>
    <w:rPr>
      <w:sz w:val="18"/>
      <w:szCs w:val="18"/>
    </w:rPr>
  </w:style>
  <w:style w:type="paragraph" w:styleId="8">
    <w:name w:val="header"/>
    <w:basedOn w:val="1"/>
    <w:link w:val="24"/>
    <w:qFormat/>
    <w:uiPriority w:val="0"/>
    <w:pPr>
      <w:pBdr>
        <w:bottom w:val="single" w:color="auto" w:sz="6" w:space="1"/>
      </w:pBdr>
      <w:tabs>
        <w:tab w:val="center" w:pos="4153"/>
        <w:tab w:val="right" w:pos="8306"/>
      </w:tabs>
      <w:snapToGrid w:val="0"/>
      <w:jc w:val="center"/>
    </w:pPr>
    <w:rPr>
      <w:sz w:val="18"/>
      <w:szCs w:val="18"/>
    </w:rPr>
  </w:style>
  <w:style w:type="paragraph" w:styleId="9">
    <w:name w:val="footnote text"/>
    <w:basedOn w:val="1"/>
    <w:next w:val="2"/>
    <w:qFormat/>
    <w:uiPriority w:val="0"/>
    <w:pPr>
      <w:adjustRightInd w:val="0"/>
      <w:spacing w:line="312" w:lineRule="atLeast"/>
      <w:jc w:val="left"/>
      <w:textAlignment w:val="baseline"/>
    </w:pPr>
    <w:rPr>
      <w:sz w:val="18"/>
      <w:szCs w:val="22"/>
    </w:rPr>
  </w:style>
  <w:style w:type="paragraph" w:styleId="10">
    <w:name w:val="Body Text First Indent 2"/>
    <w:basedOn w:val="3"/>
    <w:next w:val="1"/>
    <w:qFormat/>
    <w:uiPriority w:val="0"/>
    <w:pPr>
      <w:ind w:left="200" w:firstLine="200"/>
    </w:pPr>
    <w:rPr>
      <w:rFonts w:ascii="宋体" w:hAnsi="宋体"/>
      <w:szCs w:val="20"/>
    </w:rPr>
  </w:style>
  <w:style w:type="character" w:styleId="13">
    <w:name w:val="Hyperlink"/>
    <w:basedOn w:val="12"/>
    <w:unhideWhenUsed/>
    <w:qFormat/>
    <w:uiPriority w:val="99"/>
    <w:rPr>
      <w:color w:val="0026E5" w:themeColor="hyperlink"/>
      <w:u w:val="single"/>
      <w14:textFill>
        <w14:solidFill>
          <w14:schemeClr w14:val="hlink"/>
        </w14:solidFill>
      </w14:textFill>
    </w:rPr>
  </w:style>
  <w:style w:type="paragraph" w:customStyle="1" w:styleId="14">
    <w:name w:val="普通正文"/>
    <w:basedOn w:val="1"/>
    <w:qFormat/>
    <w:uiPriority w:val="0"/>
    <w:pPr>
      <w:spacing w:before="120" w:after="120" w:line="360" w:lineRule="auto"/>
      <w:ind w:firstLine="480"/>
      <w:jc w:val="left"/>
    </w:pPr>
    <w:rPr>
      <w:rFonts w:ascii="Arial" w:hAnsi="Arial"/>
      <w:sz w:val="24"/>
    </w:rPr>
  </w:style>
  <w:style w:type="paragraph" w:customStyle="1" w:styleId="15">
    <w:name w:val="纯文本1"/>
    <w:basedOn w:val="1"/>
    <w:qFormat/>
    <w:uiPriority w:val="0"/>
    <w:pPr>
      <w:widowControl/>
      <w:spacing w:after="200" w:line="252" w:lineRule="auto"/>
      <w:jc w:val="left"/>
    </w:pPr>
    <w:rPr>
      <w:rFonts w:ascii="宋体" w:hAnsi="Courier New"/>
      <w:szCs w:val="20"/>
    </w:rPr>
  </w:style>
  <w:style w:type="paragraph" w:customStyle="1" w:styleId="16">
    <w:name w:val="普通(网站)1"/>
    <w:basedOn w:val="1"/>
    <w:unhideWhenUsed/>
    <w:qFormat/>
    <w:uiPriority w:val="99"/>
    <w:pPr>
      <w:widowControl/>
      <w:spacing w:before="100" w:beforeAutospacing="1" w:after="100" w:afterAutospacing="1"/>
      <w:jc w:val="left"/>
    </w:pPr>
    <w:rPr>
      <w:rFonts w:ascii="宋体" w:hAnsi="宋体" w:cs="宋体"/>
      <w:sz w:val="24"/>
    </w:rPr>
  </w:style>
  <w:style w:type="character" w:customStyle="1" w:styleId="17">
    <w:name w:val="超链接1"/>
    <w:unhideWhenUsed/>
    <w:qFormat/>
    <w:uiPriority w:val="99"/>
    <w:rPr>
      <w:color w:val="0000FF"/>
      <w:u w:val="single"/>
    </w:rPr>
  </w:style>
  <w:style w:type="paragraph" w:customStyle="1" w:styleId="18">
    <w:name w:val="Char1"/>
    <w:basedOn w:val="1"/>
    <w:qFormat/>
    <w:uiPriority w:val="0"/>
    <w:pPr>
      <w:tabs>
        <w:tab w:val="left" w:pos="360"/>
      </w:tabs>
    </w:pPr>
    <w:rPr>
      <w:color w:val="000000"/>
      <w:sz w:val="24"/>
    </w:rPr>
  </w:style>
  <w:style w:type="paragraph" w:customStyle="1" w:styleId="19">
    <w:name w:val="正文缩进1"/>
    <w:basedOn w:val="1"/>
    <w:qFormat/>
    <w:uiPriority w:val="0"/>
    <w:pPr>
      <w:ind w:firstLine="420"/>
    </w:pPr>
  </w:style>
  <w:style w:type="paragraph" w:customStyle="1" w:styleId="20">
    <w:name w:val="Header1"/>
    <w:basedOn w:val="1"/>
    <w:qFormat/>
    <w:uiPriority w:val="99"/>
    <w:pPr>
      <w:pBdr>
        <w:bottom w:val="single" w:color="000000" w:sz="6" w:space="1"/>
      </w:pBdr>
      <w:tabs>
        <w:tab w:val="center" w:pos="4153"/>
        <w:tab w:val="right" w:pos="8306"/>
      </w:tabs>
      <w:jc w:val="center"/>
    </w:pPr>
    <w:rPr>
      <w:sz w:val="18"/>
      <w:szCs w:val="18"/>
    </w:rPr>
  </w:style>
  <w:style w:type="paragraph" w:customStyle="1" w:styleId="21">
    <w:name w:val="Footer1"/>
    <w:basedOn w:val="1"/>
    <w:qFormat/>
    <w:uiPriority w:val="99"/>
    <w:pPr>
      <w:tabs>
        <w:tab w:val="center" w:pos="4153"/>
        <w:tab w:val="right" w:pos="8306"/>
      </w:tabs>
      <w:jc w:val="left"/>
    </w:pPr>
    <w:rPr>
      <w:sz w:val="18"/>
      <w:szCs w:val="18"/>
    </w:rPr>
  </w:style>
  <w:style w:type="character" w:customStyle="1" w:styleId="22">
    <w:name w:val="页码1"/>
    <w:basedOn w:val="23"/>
    <w:qFormat/>
    <w:uiPriority w:val="0"/>
  </w:style>
  <w:style w:type="character" w:customStyle="1" w:styleId="23">
    <w:name w:val="默认段落字体1"/>
    <w:unhideWhenUsed/>
    <w:qFormat/>
    <w:uiPriority w:val="1"/>
  </w:style>
  <w:style w:type="character" w:customStyle="1" w:styleId="24">
    <w:name w:val="页眉 Char"/>
    <w:basedOn w:val="12"/>
    <w:link w:val="8"/>
    <w:qFormat/>
    <w:uiPriority w:val="0"/>
    <w:rPr>
      <w:rFonts w:ascii="Times New Roman" w:hAnsi="Times New Roman" w:eastAsia="宋体" w:cs="Times New Roman"/>
      <w:sz w:val="18"/>
      <w:szCs w:val="18"/>
    </w:rPr>
  </w:style>
  <w:style w:type="character" w:customStyle="1" w:styleId="25">
    <w:name w:val="页脚 Char"/>
    <w:basedOn w:val="12"/>
    <w:link w:val="7"/>
    <w:qFormat/>
    <w:uiPriority w:val="0"/>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47</Pages>
  <Words>9157</Words>
  <Characters>10403</Characters>
  <Lines>207</Lines>
  <Paragraphs>58</Paragraphs>
  <TotalTime>57</TotalTime>
  <ScaleCrop>false</ScaleCrop>
  <LinksUpToDate>false</LinksUpToDate>
  <CharactersWithSpaces>10505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2025-11-05T01:58:00Z</dcterms:created>
  <dc:creator>jcpc</dc:creator>
  <cp:lastModifiedBy>小糊涂仙儿</cp:lastModifiedBy>
  <dcterms:modified xsi:type="dcterms:W3CDTF">2025-11-18T07:24:46Z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eyJoZGlkIjoiMTc2Mzg1NWZhYjRkZTQwOGM3NjM5NjRiYjE5ZTllY2EiLCJ1c2VySWQiOiIxMTQ0NjA5OTI4In0=</vt:lpwstr>
  </property>
  <property fmtid="{D5CDD505-2E9C-101B-9397-08002B2CF9AE}" pid="4" name="ICV">
    <vt:lpwstr>AFE5E98E42F74097B948F13A5E60BD24_13</vt:lpwstr>
  </property>
</Properties>
</file>